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Central Asia Audit &amp; Advisory Partners LLP</w:t>
      </w:r>
    </w:p>
    <w:p>
      <w:pPr>
        <w:pStyle w:val="BodyText"/>
      </w:pPr>
      <w:r>
        <w:t xml:space="preserve">12 Amir Temur Avenue, Tashkent, 100011, Uzbekistan</w:t>
      </w:r>
    </w:p>
    <w:p>
      <w:pPr>
        <w:pStyle w:val="BodyText"/>
      </w:pPr>
      <w:r>
        <w:t xml:space="preserve">Tel: +998 71 200 45 67 | Email: quotes@caaudit.uz</w:t>
      </w:r>
    </w:p>
    <w:p>
      <w:pPr>
        <w:pStyle w:val="BodyText"/>
      </w:pPr>
      <w:r>
        <w:t xml:space="preserve">Registration No. 012345678 | VAT ID: 200123456</w:t>
      </w:r>
    </w:p>
    <w:bookmarkEnd w:id="20"/>
    <w:p>
      <w:pPr>
        <w:pStyle w:val="BodyText"/>
      </w:pPr>
      <w:r>
        <w:rPr>
          <w:bCs/>
          <w:b/>
        </w:rPr>
        <w:t xml:space="preserve">Quotation Estimate No.:</w:t>
      </w:r>
      <w:r>
        <w:t xml:space="preserve"> </w:t>
      </w:r>
      <w:r>
        <w:t xml:space="preserve">QE-2025-TK-0347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Central Asia Audit &amp; Advisory Partners LLP, a licensed and internationally recognized</w:t>
      </w:r>
      <w:r>
        <w:t xml:space="preserve"> </w:t>
      </w:r>
      <w:r>
        <w:t xml:space="preserve">Auditor</w:t>
      </w:r>
      <w:r>
        <w:t xml:space="preserve"> </w:t>
      </w:r>
      <w:r>
        <w:t xml:space="preserve">firm operating in</w:t>
      </w:r>
      <w:r>
        <w:t xml:space="preserve"> </w:t>
      </w:r>
      <w:r>
        <w:t xml:space="preserve">Uzbekistan Tashkent</w:t>
      </w:r>
      <w:r>
        <w:t xml:space="preserve">, to provide a comprehensive and transparent breakdown of professional fees, expenses, and deliverables associated with the engagement of our</w:t>
      </w:r>
      <w:r>
        <w:t xml:space="preserve"> </w:t>
      </w:r>
      <w:r>
        <w:t xml:space="preserve">Auditor</w:t>
      </w:r>
      <w:r>
        <w:t xml:space="preserve"> </w:t>
      </w:r>
      <w:r>
        <w:t xml:space="preserve">services. This document serves as a formal</w:t>
      </w:r>
      <w:r>
        <w:t xml:space="preserve"> </w:t>
      </w:r>
      <w:r>
        <w:t xml:space="preserve">Quotation Estimate</w:t>
      </w:r>
      <w:r>
        <w:t xml:space="preserve"> </w:t>
      </w:r>
      <w:r>
        <w:t xml:space="preserve">for the client to review, approve, and authorize the commencement of the audit engagement in accordance with the applicable regulations of the Republic of Uzbekistan and the International Standards on Auditing (ISA).</w:t>
      </w:r>
    </w:p>
    <w:p>
      <w:pPr>
        <w:pStyle w:val="BodyText"/>
      </w:pPr>
      <w:r>
        <w:t xml:space="preserve">Our</w:t>
      </w:r>
      <w:r>
        <w:t xml:space="preserve"> </w:t>
      </w:r>
      <w:r>
        <w:t xml:space="preserve">Auditor</w:t>
      </w:r>
      <w:r>
        <w:t xml:space="preserve"> </w:t>
      </w:r>
      <w:r>
        <w:t xml:space="preserve">team in</w:t>
      </w:r>
      <w:r>
        <w:t xml:space="preserve"> </w:t>
      </w:r>
      <w:r>
        <w:t xml:space="preserve">Uzbekistan Tashkent</w:t>
      </w:r>
      <w:r>
        <w:t xml:space="preserve"> </w:t>
      </w:r>
      <w:r>
        <w:t xml:space="preserve">has been specifically assembled to address the unique regulatory, financial, and operational landscape of the region. This</w:t>
      </w:r>
      <w:r>
        <w:t xml:space="preserve"> </w:t>
      </w:r>
      <w:r>
        <w:t xml:space="preserve">Quotation Estimate</w:t>
      </w:r>
      <w:r>
        <w:t xml:space="preserve"> </w:t>
      </w:r>
      <w:r>
        <w:t xml:space="preserve">reflects the current market rates for</w:t>
      </w:r>
      <w:r>
        <w:t xml:space="preserve"> </w:t>
      </w:r>
      <w:r>
        <w:t xml:space="preserve">Auditor</w:t>
      </w:r>
      <w:r>
        <w:t xml:space="preserve"> </w:t>
      </w:r>
      <w:r>
        <w:t xml:space="preserve">services in</w:t>
      </w:r>
      <w:r>
        <w:t xml:space="preserve"> </w:t>
      </w:r>
      <w:r>
        <w:t xml:space="preserve">Uzbekistan Tashkent</w:t>
      </w:r>
      <w:r>
        <w:t xml:space="preserve"> </w:t>
      </w:r>
      <w:r>
        <w:t xml:space="preserve">as of the date of issue and is subject to the terms and conditions outlined herein.</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engagement proposed in this</w:t>
      </w:r>
      <w:r>
        <w:t xml:space="preserve"> </w:t>
      </w:r>
      <w:r>
        <w:t xml:space="preserve">Quotation Estimate</w:t>
      </w:r>
      <w:r>
        <w:t xml:space="preserve"> </w:t>
      </w:r>
      <w:r>
        <w:t xml:space="preserve">encompasses the following professional services to be delivered in</w:t>
      </w:r>
      <w:r>
        <w:t xml:space="preserve"> </w:t>
      </w:r>
      <w:r>
        <w:t xml:space="preserve">Uzbekistan Tashkent</w:t>
      </w:r>
      <w:r>
        <w:t xml:space="preserve">:</w:t>
      </w:r>
    </w:p>
    <w:p>
      <w:pPr>
        <w:numPr>
          <w:ilvl w:val="0"/>
          <w:numId w:val="1001"/>
        </w:numPr>
        <w:pStyle w:val="Compact"/>
      </w:pPr>
      <w:r>
        <w:rPr>
          <w:bCs/>
          <w:b/>
        </w:rPr>
        <w:t xml:space="preserve">Statutory Financial Audit:</w:t>
      </w:r>
      <w:r>
        <w:t xml:space="preserve"> </w:t>
      </w:r>
      <w:r>
        <w:t xml:space="preserve">Full-scope audit of the annual financial statements in compliance with the Accounting Law of the Republic of Uzbekistan and IFRS, conducted by our certified</w:t>
      </w:r>
      <w:r>
        <w:t xml:space="preserve"> </w:t>
      </w:r>
      <w:r>
        <w:t xml:space="preserve">Auditor</w:t>
      </w:r>
      <w:r>
        <w:t xml:space="preserve"> </w:t>
      </w:r>
      <w:r>
        <w:t xml:space="preserve">team based in</w:t>
      </w:r>
      <w:r>
        <w:t xml:space="preserve"> </w:t>
      </w:r>
      <w:r>
        <w:t xml:space="preserve">Uzbekistan Tashkent</w:t>
      </w:r>
      <w:r>
        <w:t xml:space="preserve">.</w:t>
      </w:r>
    </w:p>
    <w:p>
      <w:pPr>
        <w:numPr>
          <w:ilvl w:val="0"/>
          <w:numId w:val="1001"/>
        </w:numPr>
        <w:pStyle w:val="Compact"/>
      </w:pPr>
      <w:r>
        <w:rPr>
          <w:bCs/>
          <w:b/>
        </w:rPr>
        <w:t xml:space="preserve">Tax Compliance Review:</w:t>
      </w:r>
      <w:r>
        <w:t xml:space="preserve"> </w:t>
      </w:r>
      <w:r>
        <w:t xml:space="preserve">Verification of tax filings, VAT calculations, and corporate income tax obligations as required by the State Tax Committee of Uzbekistan, performed by our</w:t>
      </w:r>
      <w:r>
        <w:t xml:space="preserve"> </w:t>
      </w:r>
      <w:r>
        <w:t xml:space="preserve">Auditor</w:t>
      </w:r>
      <w:r>
        <w:t xml:space="preserve"> </w:t>
      </w:r>
      <w:r>
        <w:t xml:space="preserve">specialists in</w:t>
      </w:r>
      <w:r>
        <w:t xml:space="preserve"> </w:t>
      </w:r>
      <w:r>
        <w:t xml:space="preserve">Uzbekistan Tashkent</w:t>
      </w:r>
      <w:r>
        <w:t xml:space="preserve">.</w:t>
      </w:r>
    </w:p>
    <w:p>
      <w:pPr>
        <w:numPr>
          <w:ilvl w:val="0"/>
          <w:numId w:val="1001"/>
        </w:numPr>
        <w:pStyle w:val="Compact"/>
      </w:pPr>
      <w:r>
        <w:rPr>
          <w:bCs/>
          <w:b/>
        </w:rPr>
        <w:t xml:space="preserve">Internal Control Assessment:</w:t>
      </w:r>
      <w:r>
        <w:t xml:space="preserve"> </w:t>
      </w:r>
      <w:r>
        <w:t xml:space="preserve">Evaluation of the client's internal control environment, risk management frameworks, and governance structures, with recommendations issued by the lead</w:t>
      </w:r>
      <w:r>
        <w:t xml:space="preserve"> </w:t>
      </w:r>
      <w:r>
        <w:t xml:space="preserve">Auditor</w:t>
      </w:r>
      <w:r>
        <w:t xml:space="preserve">.</w:t>
      </w:r>
    </w:p>
    <w:p>
      <w:pPr>
        <w:numPr>
          <w:ilvl w:val="0"/>
          <w:numId w:val="1001"/>
        </w:numPr>
        <w:pStyle w:val="Compact"/>
      </w:pPr>
      <w:r>
        <w:rPr>
          <w:bCs/>
          <w:b/>
        </w:rPr>
        <w:t xml:space="preserve">Forensic and Investigative Audit:</w:t>
      </w:r>
      <w:r>
        <w:t xml:space="preserve"> </w:t>
      </w:r>
      <w:r>
        <w:t xml:space="preserve">Targeted examination of specific transactions, related-party dealings, or suspected irregularities, conducted by our specialized</w:t>
      </w:r>
      <w:r>
        <w:t xml:space="preserve"> </w:t>
      </w:r>
      <w:r>
        <w:t xml:space="preserve">Auditor</w:t>
      </w:r>
      <w:r>
        <w:t xml:space="preserve"> </w:t>
      </w:r>
      <w:r>
        <w:t xml:space="preserve">unit in</w:t>
      </w:r>
      <w:r>
        <w:t xml:space="preserve"> </w:t>
      </w:r>
      <w:r>
        <w:t xml:space="preserve">Uzbekistan Tashkent</w:t>
      </w:r>
      <w:r>
        <w:t xml:space="preserve">.</w:t>
      </w:r>
    </w:p>
    <w:p>
      <w:pPr>
        <w:numPr>
          <w:ilvl w:val="0"/>
          <w:numId w:val="1001"/>
        </w:numPr>
        <w:pStyle w:val="Compact"/>
      </w:pPr>
      <w:r>
        <w:rPr>
          <w:bCs/>
          <w:b/>
        </w:rPr>
        <w:t xml:space="preserve">Management Letter and Advisory Report:</w:t>
      </w:r>
      <w:r>
        <w:t xml:space="preserve"> </w:t>
      </w:r>
      <w:r>
        <w:t xml:space="preserve">A detailed written report from the</w:t>
      </w:r>
      <w:r>
        <w:t xml:space="preserve"> </w:t>
      </w:r>
      <w:r>
        <w:t xml:space="preserve">Auditor</w:t>
      </w:r>
      <w:r>
        <w:t xml:space="preserve"> </w:t>
      </w:r>
      <w:r>
        <w:t xml:space="preserve">outlining findings, observations, and actionable recommendations for the client's management and board of directors.</w:t>
      </w:r>
    </w:p>
    <w:bookmarkEnd w:id="22"/>
    <w:bookmarkStart w:id="23" w:name="Xacfab81638dc874704f19169506aae0e784d834"/>
    <w:p>
      <w:pPr>
        <w:pStyle w:val="Heading2"/>
      </w:pPr>
      <w:r>
        <w:t xml:space="preserve">3. Itemized Quotation Estimate – Fees and Expenses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Description</w:t>
            </w:r>
          </w:p>
        </w:tc>
        <w:tc>
          <w:tcPr/>
          <w:p>
            <w:pPr>
              <w:pStyle w:val="Compact"/>
              <w:jc w:val="left"/>
            </w:pPr>
            <w:r>
              <w:t xml:space="preserve">Duration</w:t>
            </w:r>
          </w:p>
        </w:tc>
        <w:tc>
          <w:tcPr/>
          <w:p>
            <w:pPr>
              <w:pStyle w:val="Compact"/>
              <w:jc w:val="left"/>
            </w:pPr>
            <w:r>
              <w:t xml:space="preserve">Rate (UZS)</w:t>
            </w:r>
          </w:p>
        </w:tc>
        <w:tc>
          <w:tcPr/>
          <w:p>
            <w:pPr>
              <w:pStyle w:val="Compact"/>
              <w:jc w:val="left"/>
            </w:pPr>
            <w:r>
              <w:t xml:space="preserve">Amount (UZS)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Auditor – Statutory Financial Audit (Senior Partner level)</w:t>
            </w:r>
          </w:p>
        </w:tc>
        <w:tc>
          <w:tcPr/>
          <w:p>
            <w:pPr>
              <w:pStyle w:val="Compact"/>
              <w:jc w:val="left"/>
            </w:pPr>
            <w:r>
              <w:t xml:space="preserve">25 days</w:t>
            </w:r>
          </w:p>
        </w:tc>
        <w:tc>
          <w:tcPr/>
          <w:p>
            <w:pPr>
              <w:pStyle w:val="Compact"/>
              <w:jc w:val="left"/>
            </w:pPr>
            <w:r>
              <w:t xml:space="preserve">1,200,000</w:t>
            </w:r>
          </w:p>
        </w:tc>
        <w:tc>
          <w:tcPr/>
          <w:p>
            <w:pPr>
              <w:pStyle w:val="Compact"/>
              <w:jc w:val="left"/>
            </w:pPr>
            <w:r>
              <w:t xml:space="preserve">30,000,000</w:t>
            </w:r>
          </w:p>
        </w:tc>
        <w:tc>
          <w:tcPr/>
          <w:p>
            <w:pPr>
              <w:pStyle w:val="Compact"/>
              <w:jc w:val="left"/>
            </w:pPr>
            <w:r>
              <w:t xml:space="preserve">$2,400</w:t>
            </w:r>
          </w:p>
        </w:tc>
      </w:tr>
      <w:tr>
        <w:tc>
          <w:tcPr/>
          <w:p>
            <w:pPr>
              <w:pStyle w:val="Compact"/>
              <w:jc w:val="left"/>
            </w:pPr>
            <w:r>
              <w:t xml:space="preserve">2</w:t>
            </w:r>
          </w:p>
        </w:tc>
        <w:tc>
          <w:tcPr/>
          <w:p>
            <w:pPr>
              <w:pStyle w:val="Compact"/>
              <w:jc w:val="left"/>
            </w:pPr>
            <w:r>
              <w:t xml:space="preserve">Auditor Team – Fieldwork &amp; Testing (3 professionals)</w:t>
            </w:r>
          </w:p>
        </w:tc>
        <w:tc>
          <w:tcPr/>
          <w:p>
            <w:pPr>
              <w:pStyle w:val="Compact"/>
              <w:jc w:val="left"/>
            </w:pPr>
            <w:r>
              <w:t xml:space="preserve">40 days</w:t>
            </w:r>
          </w:p>
        </w:tc>
        <w:tc>
          <w:tcPr/>
          <w:p>
            <w:pPr>
              <w:pStyle w:val="Compact"/>
              <w:jc w:val="left"/>
            </w:pPr>
            <w:r>
              <w:t xml:space="preserve">650,000</w:t>
            </w:r>
          </w:p>
        </w:tc>
        <w:tc>
          <w:tcPr/>
          <w:p>
            <w:pPr>
              <w:pStyle w:val="Compact"/>
              <w:jc w:val="left"/>
            </w:pPr>
            <w:r>
              <w:t xml:space="preserve">78,000,000</w:t>
            </w:r>
          </w:p>
        </w:tc>
        <w:tc>
          <w:tcPr/>
          <w:p>
            <w:pPr>
              <w:pStyle w:val="Compact"/>
              <w:jc w:val="left"/>
            </w:pPr>
            <w:r>
              <w:t xml:space="preserve">$6,240</w:t>
            </w:r>
          </w:p>
        </w:tc>
      </w:tr>
      <w:tr>
        <w:tc>
          <w:tcPr/>
          <w:p>
            <w:pPr>
              <w:pStyle w:val="Compact"/>
              <w:jc w:val="left"/>
            </w:pPr>
            <w:r>
              <w:t xml:space="preserve">3</w:t>
            </w:r>
          </w:p>
        </w:tc>
        <w:tc>
          <w:tcPr/>
          <w:p>
            <w:pPr>
              <w:pStyle w:val="Compact"/>
              <w:jc w:val="left"/>
            </w:pPr>
            <w:r>
              <w:t xml:space="preserve">Tax Compliance Review – Auditor Specialist</w:t>
            </w:r>
          </w:p>
        </w:tc>
        <w:tc>
          <w:tcPr/>
          <w:p>
            <w:pPr>
              <w:pStyle w:val="Compact"/>
              <w:jc w:val="left"/>
            </w:pPr>
            <w:r>
              <w:t xml:space="preserve">15 days</w:t>
            </w:r>
          </w:p>
        </w:tc>
        <w:tc>
          <w:tcPr/>
          <w:p>
            <w:pPr>
              <w:pStyle w:val="Compact"/>
              <w:jc w:val="left"/>
            </w:pPr>
            <w:r>
              <w:t xml:space="preserve">800,000</w:t>
            </w:r>
          </w:p>
        </w:tc>
        <w:tc>
          <w:tcPr/>
          <w:p>
            <w:pPr>
              <w:pStyle w:val="Compact"/>
              <w:jc w:val="left"/>
            </w:pPr>
            <w:r>
              <w:t xml:space="preserve">12,000,000</w:t>
            </w:r>
          </w:p>
        </w:tc>
        <w:tc>
          <w:tcPr/>
          <w:p>
            <w:pPr>
              <w:pStyle w:val="Compact"/>
              <w:jc w:val="left"/>
            </w:pPr>
            <w:r>
              <w:t xml:space="preserve">$960</w:t>
            </w:r>
          </w:p>
        </w:tc>
      </w:tr>
      <w:tr>
        <w:tc>
          <w:tcPr/>
          <w:p>
            <w:pPr>
              <w:pStyle w:val="Compact"/>
              <w:jc w:val="left"/>
            </w:pPr>
            <w:r>
              <w:t xml:space="preserve">4</w:t>
            </w:r>
          </w:p>
        </w:tc>
        <w:tc>
          <w:tcPr/>
          <w:p>
            <w:pPr>
              <w:pStyle w:val="Compact"/>
              <w:jc w:val="left"/>
            </w:pPr>
            <w:r>
              <w:t xml:space="preserve">Internal Control Assessment – Auditor Consultant</w:t>
            </w:r>
          </w:p>
        </w:tc>
        <w:tc>
          <w:tcPr/>
          <w:p>
            <w:pPr>
              <w:pStyle w:val="Compact"/>
              <w:jc w:val="left"/>
            </w:pPr>
            <w:r>
              <w:t xml:space="preserve">10 days</w:t>
            </w:r>
          </w:p>
        </w:tc>
        <w:tc>
          <w:tcPr/>
          <w:p>
            <w:pPr>
              <w:pStyle w:val="Compact"/>
              <w:jc w:val="left"/>
            </w:pPr>
            <w:r>
              <w:t xml:space="preserve">750,000</w:t>
            </w:r>
          </w:p>
        </w:tc>
        <w:tc>
          <w:tcPr/>
          <w:p>
            <w:pPr>
              <w:pStyle w:val="Compact"/>
              <w:jc w:val="left"/>
            </w:pPr>
            <w:r>
              <w:t xml:space="preserve">7,500,000</w:t>
            </w:r>
          </w:p>
        </w:tc>
        <w:tc>
          <w:tcPr/>
          <w:p>
            <w:pPr>
              <w:pStyle w:val="Compact"/>
              <w:jc w:val="left"/>
            </w:pPr>
            <w:r>
              <w:t xml:space="preserve">$600</w:t>
            </w:r>
          </w:p>
        </w:tc>
      </w:tr>
      <w:tr>
        <w:tc>
          <w:tcPr/>
          <w:p>
            <w:pPr>
              <w:pStyle w:val="Compact"/>
              <w:jc w:val="left"/>
            </w:pPr>
            <w:r>
              <w:t xml:space="preserve">5</w:t>
            </w:r>
          </w:p>
        </w:tc>
        <w:tc>
          <w:tcPr/>
          <w:p>
            <w:pPr>
              <w:pStyle w:val="Compact"/>
              <w:jc w:val="left"/>
            </w:pPr>
            <w:r>
              <w:t xml:space="preserve">Forensic Audit – Specialized Auditor Unit</w:t>
            </w:r>
          </w:p>
        </w:tc>
        <w:tc>
          <w:tcPr/>
          <w:p>
            <w:pPr>
              <w:pStyle w:val="Compact"/>
              <w:jc w:val="left"/>
            </w:pPr>
            <w:r>
              <w:t xml:space="preserve">12 days</w:t>
            </w:r>
          </w:p>
        </w:tc>
        <w:tc>
          <w:tcPr/>
          <w:p>
            <w:pPr>
              <w:pStyle w:val="Compact"/>
              <w:jc w:val="left"/>
            </w:pPr>
            <w:r>
              <w:t xml:space="preserve">1,000,000</w:t>
            </w:r>
          </w:p>
        </w:tc>
        <w:tc>
          <w:tcPr/>
          <w:p>
            <w:pPr>
              <w:pStyle w:val="Compact"/>
              <w:jc w:val="left"/>
            </w:pPr>
            <w:r>
              <w:t xml:space="preserve">12,000,000</w:t>
            </w:r>
          </w:p>
        </w:tc>
        <w:tc>
          <w:tcPr/>
          <w:p>
            <w:pPr>
              <w:pStyle w:val="Compact"/>
              <w:jc w:val="left"/>
            </w:pPr>
            <w:r>
              <w:t xml:space="preserve">$960</w:t>
            </w:r>
          </w:p>
        </w:tc>
      </w:tr>
      <w:tr>
        <w:tc>
          <w:tcPr/>
          <w:p>
            <w:pPr>
              <w:pStyle w:val="Compact"/>
              <w:jc w:val="left"/>
            </w:pPr>
            <w:r>
              <w:t xml:space="preserve">6</w:t>
            </w:r>
          </w:p>
        </w:tc>
        <w:tc>
          <w:tcPr/>
          <w:p>
            <w:pPr>
              <w:pStyle w:val="Compact"/>
              <w:jc w:val="left"/>
            </w:pPr>
            <w:r>
              <w:t xml:space="preserve">Report Preparation, Review &amp; Issuance (Auditor Partner sign-off)</w:t>
            </w:r>
          </w:p>
        </w:tc>
        <w:tc>
          <w:tcPr/>
          <w:p>
            <w:pPr>
              <w:pStyle w:val="Compact"/>
              <w:jc w:val="left"/>
            </w:pPr>
            <w:r>
              <w:t xml:space="preserve">5 days</w:t>
            </w:r>
          </w:p>
        </w:tc>
        <w:tc>
          <w:tcPr/>
          <w:p>
            <w:pPr>
              <w:pStyle w:val="Compact"/>
              <w:jc w:val="left"/>
            </w:pPr>
            <w:r>
              <w:t xml:space="preserve">1,100,000</w:t>
            </w:r>
          </w:p>
        </w:tc>
        <w:tc>
          <w:tcPr/>
          <w:p>
            <w:pPr>
              <w:pStyle w:val="Compact"/>
              <w:jc w:val="left"/>
            </w:pPr>
            <w:r>
              <w:t xml:space="preserve">5,500,000</w:t>
            </w:r>
          </w:p>
        </w:tc>
        <w:tc>
          <w:tcPr/>
          <w:p>
            <w:pPr>
              <w:pStyle w:val="Compact"/>
              <w:jc w:val="left"/>
            </w:pPr>
            <w:r>
              <w:t xml:space="preserve">$440</w:t>
            </w:r>
          </w:p>
        </w:tc>
      </w:tr>
      <w:tr>
        <w:tc>
          <w:tcPr/>
          <w:p>
            <w:pPr>
              <w:pStyle w:val="Compact"/>
              <w:jc w:val="left"/>
            </w:pPr>
            <w:r>
              <w:t xml:space="preserve">7</w:t>
            </w:r>
          </w:p>
        </w:tc>
        <w:tc>
          <w:tcPr/>
          <w:p>
            <w:pPr>
              <w:pStyle w:val="Compact"/>
              <w:jc w:val="left"/>
            </w:pPr>
            <w:r>
              <w:t xml:space="preserve">Travel, Accommodation &amp; Local Expenses (Tashkent office &amp; field sites)</w:t>
            </w:r>
          </w:p>
        </w:tc>
        <w:tc>
          <w:tcPr/>
          <w:p>
            <w:pPr>
              <w:pStyle w:val="Compact"/>
              <w:jc w:val="left"/>
            </w:pPr>
            <w:r>
              <w:t xml:space="preserve">—</w:t>
            </w:r>
          </w:p>
        </w:tc>
        <w:tc>
          <w:tcPr/>
          <w:p>
            <w:pPr>
              <w:pStyle w:val="Compact"/>
              <w:jc w:val="left"/>
            </w:pPr>
            <w:r>
              <w:t xml:space="preserve">—</w:t>
            </w:r>
          </w:p>
        </w:tc>
        <w:tc>
          <w:tcPr/>
          <w:p>
            <w:pPr>
              <w:pStyle w:val="Compact"/>
              <w:jc w:val="left"/>
            </w:pPr>
            <w:r>
              <w:t xml:space="preserve">4,000,000</w:t>
            </w:r>
          </w:p>
        </w:tc>
        <w:tc>
          <w:tcPr/>
          <w:p>
            <w:pPr>
              <w:pStyle w:val="Compact"/>
              <w:jc w:val="left"/>
            </w:pPr>
            <w:r>
              <w:t xml:space="preserve">$320</w:t>
            </w:r>
          </w:p>
        </w:tc>
      </w:tr>
      <w:tr>
        <w:tc>
          <w:tcPr/>
          <w:p>
            <w:pPr>
              <w:pStyle w:val="Compact"/>
              <w:jc w:val="left"/>
            </w:pPr>
            <w:r>
              <w:t xml:space="preserve">8</w:t>
            </w:r>
          </w:p>
        </w:tc>
        <w:tc>
          <w:tcPr/>
          <w:p>
            <w:pPr>
              <w:pStyle w:val="Compact"/>
              <w:jc w:val="left"/>
            </w:pPr>
            <w:r>
              <w:t xml:space="preserve">Software, Licensing &amp; Technology Fees (Audit tools, data analytics)</w:t>
            </w:r>
          </w:p>
        </w:tc>
        <w:tc>
          <w:tcPr/>
          <w:p>
            <w:pPr>
              <w:pStyle w:val="Compact"/>
              <w:jc w:val="left"/>
            </w:pPr>
            <w:r>
              <w:t xml:space="preserve">—</w:t>
            </w:r>
          </w:p>
        </w:tc>
        <w:tc>
          <w:tcPr/>
          <w:p>
            <w:pPr>
              <w:pStyle w:val="Compact"/>
              <w:jc w:val="left"/>
            </w:pPr>
            <w:r>
              <w:t xml:space="preserve">—</w:t>
            </w:r>
          </w:p>
        </w:tc>
        <w:tc>
          <w:tcPr/>
          <w:p>
            <w:pPr>
              <w:pStyle w:val="Compact"/>
              <w:jc w:val="left"/>
            </w:pPr>
            <w:r>
              <w:t xml:space="preserve">3,000,000</w:t>
            </w:r>
          </w:p>
        </w:tc>
        <w:tc>
          <w:tcPr/>
          <w:p>
            <w:pPr>
              <w:pStyle w:val="Compact"/>
              <w:jc w:val="left"/>
            </w:pPr>
            <w:r>
              <w:t xml:space="preserve">$240</w:t>
            </w:r>
          </w:p>
        </w:tc>
      </w:tr>
      <w:tr>
        <w:tc>
          <w:tcPr>
            <w:gridSpan w:val="4"/>
          </w:tcPr>
          <w:p>
            <w:pPr>
              <w:pStyle w:val="Compact"/>
              <w:jc w:val="left"/>
            </w:pPr>
            <w:r>
              <w:rPr>
                <w:bCs/>
                <w:b/>
              </w:rPr>
              <w:t xml:space="preserve">TOTAL QUOTATION ESTIMATE (before VAT)</w:t>
            </w:r>
          </w:p>
        </w:tc>
        <w:tc>
          <w:tcPr/>
          <w:p>
            <w:pPr>
              <w:pStyle w:val="Compact"/>
              <w:jc w:val="left"/>
            </w:pPr>
            <w:r>
              <w:rPr>
                <w:bCs/>
                <w:b/>
              </w:rPr>
              <w:t xml:space="preserve">152,000,000</w:t>
            </w:r>
          </w:p>
        </w:tc>
        <w:tc>
          <w:tcPr/>
          <w:p>
            <w:pPr>
              <w:pStyle w:val="Compact"/>
              <w:jc w:val="left"/>
            </w:pPr>
            <w:r>
              <w:rPr>
                <w:bCs/>
                <w:b/>
              </w:rPr>
              <w:t xml:space="preserve">$12,160</w:t>
            </w:r>
          </w:p>
        </w:tc>
      </w:tr>
      <w:tr>
        <w:tc>
          <w:tcPr>
            <w:gridSpan w:val="4"/>
          </w:tcPr>
          <w:p>
            <w:pPr>
              <w:pStyle w:val="Compact"/>
              <w:jc w:val="left"/>
            </w:pPr>
            <w:r>
              <w:rPr>
                <w:bCs/>
                <w:b/>
              </w:rPr>
              <w:t xml:space="preserve">VAT (12% – Uzbekistan)</w:t>
            </w:r>
          </w:p>
        </w:tc>
        <w:tc>
          <w:tcPr/>
          <w:p>
            <w:pPr>
              <w:pStyle w:val="Compact"/>
              <w:jc w:val="left"/>
            </w:pPr>
            <w:r>
              <w:rPr>
                <w:bCs/>
                <w:b/>
              </w:rPr>
              <w:t xml:space="preserve">18,240,000</w:t>
            </w:r>
          </w:p>
        </w:tc>
        <w:tc>
          <w:tcPr/>
          <w:p>
            <w:pPr>
              <w:pStyle w:val="Compact"/>
              <w:jc w:val="left"/>
            </w:pPr>
            <w:r>
              <w:rPr>
                <w:bCs/>
                <w:b/>
              </w:rPr>
              <w:t xml:space="preserve">$1,459</w:t>
            </w:r>
          </w:p>
        </w:tc>
      </w:tr>
      <w:tr>
        <w:tc>
          <w:tcPr>
            <w:gridSpan w:val="4"/>
          </w:tcPr>
          <w:p>
            <w:pPr>
              <w:pStyle w:val="Compact"/>
              <w:jc w:val="left"/>
            </w:pPr>
            <w:r>
              <w:rPr>
                <w:bCs/>
                <w:b/>
              </w:rPr>
              <w:t xml:space="preserve">GRAND TOTAL – QUOTATION ESTIMATE</w:t>
            </w:r>
          </w:p>
        </w:tc>
        <w:tc>
          <w:tcPr/>
          <w:p>
            <w:pPr>
              <w:pStyle w:val="Compact"/>
              <w:jc w:val="left"/>
            </w:pPr>
            <w:r>
              <w:rPr>
                <w:bCs/>
                <w:b/>
              </w:rPr>
              <w:t xml:space="preserve">170,240,000 UZS</w:t>
            </w:r>
          </w:p>
        </w:tc>
        <w:tc>
          <w:tcPr/>
          <w:p>
            <w:pPr>
              <w:pStyle w:val="Compact"/>
              <w:jc w:val="left"/>
            </w:pPr>
            <w:r>
              <w:rPr>
                <w:bCs/>
                <w:b/>
              </w:rPr>
              <w:t xml:space="preserve">$13,619 USD</w:t>
            </w:r>
          </w:p>
        </w:tc>
      </w:tr>
    </w:tbl>
    <w:p>
      <w:pPr>
        <w:pStyle w:val="BodyText"/>
      </w:pPr>
      <w:r>
        <w:t xml:space="preserve">* Exchange rate used: 1 USD = 12,500 UZS (Central Bank of Uzbekistan, 15 June 2025). Final settlement in UZS unless otherwise agreed in writing.</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expiration, the</w:t>
      </w:r>
      <w:r>
        <w:t xml:space="preserve"> </w:t>
      </w:r>
      <w:r>
        <w:t xml:space="preserve">Auditor</w:t>
      </w:r>
      <w:r>
        <w:t xml:space="preserve"> </w:t>
      </w:r>
      <w:r>
        <w:t xml:space="preserve">firm reserves the right to revise fees to reflect current market conditions in</w:t>
      </w:r>
      <w:r>
        <w:t xml:space="preserve"> </w:t>
      </w:r>
      <w:r>
        <w:t xml:space="preserve">Uzbekistan Tashkent</w:t>
      </w:r>
      <w:r>
        <w:t xml:space="preserve">.</w:t>
      </w:r>
    </w:p>
    <w:p>
      <w:pPr>
        <w:numPr>
          <w:ilvl w:val="0"/>
          <w:numId w:val="1002"/>
        </w:numPr>
        <w:pStyle w:val="Compact"/>
      </w:pPr>
      <w:r>
        <w:t xml:space="preserve">Payment terms: 40% advance upon signing the engagement letter, 40% upon completion of fieldwork, and 20% upon issuance of the final</w:t>
      </w:r>
      <w:r>
        <w:t xml:space="preserve"> </w:t>
      </w:r>
      <w:r>
        <w:t xml:space="preserve">Auditor</w:t>
      </w:r>
      <w:r>
        <w:t xml:space="preserve"> </w:t>
      </w:r>
      <w:r>
        <w:t xml:space="preserve">report. All payments are due within fifteen (15) business days of invoice date.</w:t>
      </w:r>
    </w:p>
    <w:p>
      <w:pPr>
        <w:numPr>
          <w:ilvl w:val="0"/>
          <w:numId w:val="1002"/>
        </w:numPr>
        <w:pStyle w:val="Compact"/>
      </w:pPr>
      <w:r>
        <w:t xml:space="preserve">The</w:t>
      </w:r>
      <w:r>
        <w:t xml:space="preserve"> </w:t>
      </w:r>
      <w:r>
        <w:t xml:space="preserve">Auditor</w:t>
      </w:r>
      <w:r>
        <w:t xml:space="preserve"> </w:t>
      </w:r>
      <w:r>
        <w:t xml:space="preserve">shall maintain strict confidentiality of all client information in accordance with the professional ethics code of the Chamber of Certified Public Accountants of Uzbekistan and applicable data protection laws in</w:t>
      </w:r>
      <w:r>
        <w:t xml:space="preserve"> </w:t>
      </w:r>
      <w:r>
        <w:t xml:space="preserve">Uzbekistan Tashkent</w:t>
      </w:r>
      <w:r>
        <w:t xml:space="preserve">.</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will be subject to a supplementary</w:t>
      </w:r>
      <w:r>
        <w:t xml:space="preserve"> </w:t>
      </w:r>
      <w:r>
        <w:t xml:space="preserve">Quotation Estimate</w:t>
      </w:r>
      <w:r>
        <w:t xml:space="preserve"> </w:t>
      </w:r>
      <w:r>
        <w:t xml:space="preserve">and written client approval before commencement.</w:t>
      </w:r>
    </w:p>
    <w:p>
      <w:pPr>
        <w:numPr>
          <w:ilvl w:val="0"/>
          <w:numId w:val="1002"/>
        </w:numPr>
        <w:pStyle w:val="Compact"/>
      </w:pPr>
      <w:r>
        <w:t xml:space="preserve">The</w:t>
      </w:r>
      <w:r>
        <w:t xml:space="preserve"> </w:t>
      </w:r>
      <w:r>
        <w:t xml:space="preserve">Auditor</w:t>
      </w:r>
      <w:r>
        <w:t xml:space="preserve"> </w:t>
      </w:r>
      <w:r>
        <w:t xml:space="preserve">is not liable for penalties, fines, or losses arising from the client's failure to provide complete and accurate records, documents, or access to personnel and premises in a timely manner.</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engagement shall be resolved through the Arbitration Center of the Chamber of Commerce and Industry of Uzbekistan, seated in</w:t>
      </w:r>
      <w:r>
        <w:t xml:space="preserve"> </w:t>
      </w:r>
      <w:r>
        <w:t xml:space="preserve">Uzbekistan Tashkent</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Engagement Letter referencing this document number (QE-2025-TK-0347).</w:t>
      </w:r>
    </w:p>
    <w:p>
      <w:pPr>
        <w:pStyle w:val="FirstParagraph"/>
      </w:pPr>
      <w:r>
        <w:rPr>
          <w:bCs/>
          <w:b/>
        </w:rPr>
        <w:t xml:space="preserve">Note:</w:t>
      </w:r>
      <w:r>
        <w:t xml:space="preserve"> </w:t>
      </w:r>
      <w:r>
        <w:t xml:space="preserve">All</w:t>
      </w:r>
      <w:r>
        <w:t xml:space="preserve"> </w:t>
      </w:r>
      <w:r>
        <w:t xml:space="preserve">Auditor</w:t>
      </w:r>
      <w:r>
        <w:t xml:space="preserve"> </w:t>
      </w:r>
      <w:r>
        <w:t xml:space="preserve">services described in this</w:t>
      </w:r>
      <w:r>
        <w:t xml:space="preserve"> </w:t>
      </w:r>
      <w:r>
        <w:t xml:space="preserve">Quotation Estimate</w:t>
      </w:r>
      <w:r>
        <w:t xml:space="preserve"> </w:t>
      </w:r>
      <w:r>
        <w:t xml:space="preserve">will be performed in</w:t>
      </w:r>
      <w:r>
        <w:t xml:space="preserve"> </w:t>
      </w:r>
      <w:r>
        <w:t xml:space="preserve">Uzbekistan Tashkent</w:t>
      </w:r>
      <w:r>
        <w:t xml:space="preserve"> </w:t>
      </w:r>
      <w:r>
        <w:t xml:space="preserve">in full compliance with the Law of the Republic of Uzbekistan "On Audit Activities," the regulations of the State Tax Committee, and the International Standards on Auditing (ISA) as adopted by the local professional body. The</w:t>
      </w:r>
      <w:r>
        <w:t xml:space="preserve"> </w:t>
      </w:r>
      <w:r>
        <w:t xml:space="preserve">Auditor</w:t>
      </w:r>
      <w:r>
        <w:t xml:space="preserve"> </w:t>
      </w:r>
      <w:r>
        <w:t xml:space="preserve">report will be issued in both Uzbek and English languages upon the client's request.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proposed</w:t>
      </w:r>
      <w:r>
        <w:t xml:space="preserve"> </w:t>
      </w:r>
      <w:r>
        <w:t xml:space="preserve">Auditor</w:t>
      </w:r>
      <w:r>
        <w:t xml:space="preserve"> </w:t>
      </w:r>
      <w:r>
        <w:t xml:space="preserve">engagement terms as outlined for delivery in</w:t>
      </w:r>
      <w:r>
        <w:t xml:space="preserve"> </w:t>
      </w:r>
      <w:r>
        <w:t xml:space="preserve">Uzbekistan Tashkent</w:t>
      </w:r>
      <w:r>
        <w:t xml:space="preserve">. This signature authorizes the</w:t>
      </w:r>
      <w:r>
        <w:t xml:space="preserve"> </w:t>
      </w:r>
      <w:r>
        <w:t xml:space="preserve">Auditor</w:t>
      </w:r>
      <w:r>
        <w:t xml:space="preserve"> </w:t>
      </w:r>
      <w:r>
        <w:t xml:space="preserve">firm to proceed with the preparation of the formal Engagement Letter.</w:t>
      </w:r>
    </w:p>
    <w:p>
      <w:pPr>
        <w:pStyle w:val="BodyText"/>
      </w:pPr>
      <w:r>
        <w:rPr>
          <w:bCs/>
          <w:b/>
        </w:rPr>
        <w:t xml:space="preserve">For: Central Asia Audit &amp; Advisory Partners LLP</w:t>
      </w:r>
      <w:r>
        <w:br/>
      </w:r>
      <w:r>
        <w:t xml:space="preserve">Lead Auditor / Engagement Partner</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[Client Company Name]</w:t>
      </w:r>
      <w:r>
        <w:br/>
      </w:r>
      <w:r>
        <w:t xml:space="preserve">Authorized Representative</w:t>
      </w:r>
      <w:r>
        <w:br/>
      </w:r>
      <w:r>
        <w:t xml:space="preserve">Name: _________________________</w:t>
      </w:r>
      <w:r>
        <w:br/>
      </w:r>
      <w:r>
        <w:t xml:space="preserve">Signature: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(QE-2025-TK-0347) was prepared by Central Asia Audit &amp; Advisory Partners LLP, a licensed</w:t>
      </w:r>
      <w:r>
        <w:t xml:space="preserve"> </w:t>
      </w:r>
      <w:r>
        <w:t xml:space="preserve">Auditor</w:t>
      </w:r>
      <w:r>
        <w:t xml:space="preserve"> </w:t>
      </w:r>
      <w:r>
        <w:t xml:space="preserve">firm registered in</w:t>
      </w:r>
      <w:r>
        <w:t xml:space="preserve"> </w:t>
      </w:r>
      <w:r>
        <w:t xml:space="preserve">Uzbekistan Tashkent</w:t>
      </w:r>
      <w:r>
        <w:t xml:space="preserve">.</w:t>
      </w:r>
      <w:r>
        <w:br/>
      </w:r>
      <w:r>
        <w:t xml:space="preserve">Document generated on 15 June 2025 | Page 1 of 1 | Confidential – For Client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Uzbekistan Tashkent</dc:title>
  <dc:creator/>
  <dc:language>en</dc:language>
  <cp:keywords/>
  <dcterms:created xsi:type="dcterms:W3CDTF">2026-10-10T02:35:41Z</dcterms:created>
  <dcterms:modified xsi:type="dcterms:W3CDTF">2026-10-10T02:35:41Z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