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Prepared for Clients in Turkey Istanbul</w:t>
      </w:r>
    </w:p>
    <w:p>
      <w:pPr>
        <w:pStyle w:val="BodyText"/>
      </w:pPr>
      <w:r>
        <w:t xml:space="preserve">Document Reference: QE-IST-2025-0472</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Senior Automotive Engineer, Istanbul Office</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Istanbul, Turkey</w:t>
      </w:r>
      <w:r>
        <w:br/>
      </w:r>
      <w:r>
        <w:rPr>
          <w:bCs/>
          <w:b/>
        </w:rPr>
        <w:t xml:space="preserve">Contact Person:</w:t>
      </w:r>
      <w:r>
        <w:t xml:space="preserve"> </w:t>
      </w:r>
      <w:r>
        <w:t xml:space="preserve">[Name &amp; Title]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professional services rendered by a qualified</w:t>
      </w:r>
      <w:r>
        <w:t xml:space="preserve"> </w:t>
      </w:r>
      <w:r>
        <w:t xml:space="preserve">Automotive Engineer</w:t>
      </w:r>
      <w:r>
        <w:t xml:space="preserve"> </w:t>
      </w:r>
      <w:r>
        <w:t xml:space="preserve">operating within the metropolitan region of</w:t>
      </w:r>
      <w:r>
        <w:t xml:space="preserve"> </w:t>
      </w:r>
      <w:r>
        <w:t xml:space="preserve">Turkey Istanbul</w:t>
      </w:r>
      <w:r>
        <w:t xml:space="preserve">. The purpose of this estimate is to outline the scope of work, associated costs, timelines, and contractual terms governing the engagement of automotive engineering expertise for the client's specific project requirements. All pricing and service descriptions contained within this</w:t>
      </w:r>
      <w:r>
        <w:t xml:space="preserve"> </w:t>
      </w:r>
      <w:r>
        <w:t xml:space="preserve">Quotation Estimate</w:t>
      </w:r>
      <w:r>
        <w:t xml:space="preserve"> </w:t>
      </w:r>
      <w:r>
        <w:t xml:space="preserve">are based on current market rates applicable to the</w:t>
      </w:r>
      <w:r>
        <w:t xml:space="preserve"> </w:t>
      </w:r>
      <w:r>
        <w:t xml:space="preserve">Turkey Istanbul</w:t>
      </w:r>
      <w:r>
        <w:t xml:space="preserve"> </w:t>
      </w:r>
      <w:r>
        <w:t xml:space="preserve">industrial and commercial sector as of the date of issue.</w:t>
      </w:r>
    </w:p>
    <w:bookmarkEnd w:id="21"/>
    <w:bookmarkStart w:id="22" w:name="Xd903f355529367a1d8806f60e9239cf8f28dc0b"/>
    <w:p>
      <w:pPr>
        <w:pStyle w:val="Heading2"/>
      </w:pPr>
      <w:r>
        <w:t xml:space="preserve">2. Scope of Services – Automotive Engineer Engagement</w:t>
      </w:r>
    </w:p>
    <w:p>
      <w:pPr>
        <w:pStyle w:val="FirstParagraph"/>
      </w:pPr>
      <w:r>
        <w:t xml:space="preserve">The</w:t>
      </w:r>
      <w:r>
        <w:t xml:space="preserve"> </w:t>
      </w:r>
      <w:r>
        <w:t xml:space="preserve">Automotive Engineer</w:t>
      </w:r>
      <w:r>
        <w:t xml:space="preserve"> </w:t>
      </w:r>
      <w:r>
        <w:t xml:space="preserve">engaged under this</w:t>
      </w:r>
      <w:r>
        <w:t xml:space="preserve"> </w:t>
      </w:r>
      <w:r>
        <w:t xml:space="preserve">Quotation Estimate</w:t>
      </w:r>
      <w:r>
        <w:t xml:space="preserve"> </w:t>
      </w:r>
      <w:r>
        <w:t xml:space="preserve">will provide the following specialized services tailored to the client's operational needs in</w:t>
      </w:r>
      <w:r>
        <w:t xml:space="preserve"> </w:t>
      </w:r>
      <w:r>
        <w:t xml:space="preserve">Turkey Istanbul</w:t>
      </w:r>
      <w:r>
        <w:t xml:space="preserve">:</w:t>
      </w:r>
    </w:p>
    <w:p>
      <w:pPr>
        <w:numPr>
          <w:ilvl w:val="0"/>
          <w:numId w:val="1001"/>
        </w:numPr>
        <w:pStyle w:val="Compact"/>
      </w:pPr>
      <w:r>
        <w:t xml:space="preserve">Comprehensive vehicle diagnostics and performance analysis for commercial and passenger vehicle fleets.</w:t>
      </w:r>
    </w:p>
    <w:p>
      <w:pPr>
        <w:numPr>
          <w:ilvl w:val="0"/>
          <w:numId w:val="1001"/>
        </w:numPr>
        <w:pStyle w:val="Compact"/>
      </w:pPr>
      <w:r>
        <w:t xml:space="preserve">Design review and technical consultation for new automotive component integration and modification projects.</w:t>
      </w:r>
    </w:p>
    <w:p>
      <w:pPr>
        <w:numPr>
          <w:ilvl w:val="0"/>
          <w:numId w:val="1001"/>
        </w:numPr>
        <w:pStyle w:val="Compact"/>
      </w:pPr>
      <w:r>
        <w:t xml:space="preserve">Engine calibration, fuel system optimization, and emissions compliance testing in accordance with Turkish and European regulatory standards.</w:t>
      </w:r>
    </w:p>
    <w:p>
      <w:pPr>
        <w:numPr>
          <w:ilvl w:val="0"/>
          <w:numId w:val="1001"/>
        </w:numPr>
        <w:pStyle w:val="Compact"/>
      </w:pPr>
      <w:r>
        <w:t xml:space="preserve">On-site inspection and technical auditing of manufacturing facilities located in the Istanbul industrial zones (Tuzla, Gebze, and Pendik districts).</w:t>
      </w:r>
    </w:p>
    <w:p>
      <w:pPr>
        <w:numPr>
          <w:ilvl w:val="0"/>
          <w:numId w:val="1001"/>
        </w:numPr>
        <w:pStyle w:val="Compact"/>
      </w:pPr>
      <w:r>
        <w:t xml:space="preserve">Development of maintenance schedules and predictive maintenance strategies for the client's automotive assets.</w:t>
      </w:r>
    </w:p>
    <w:p>
      <w:pPr>
        <w:numPr>
          <w:ilvl w:val="0"/>
          <w:numId w:val="1001"/>
        </w:numPr>
        <w:pStyle w:val="Compact"/>
      </w:pPr>
      <w:r>
        <w:t xml:space="preserve">Technical documentation, engineering reports, and compliance certificates required by the Turkish Ministry of Transport and Infrastructure.</w:t>
      </w:r>
    </w:p>
    <w:p>
      <w:pPr>
        <w:numPr>
          <w:ilvl w:val="0"/>
          <w:numId w:val="1001"/>
        </w:numPr>
        <w:pStyle w:val="Compact"/>
      </w:pPr>
      <w:r>
        <w:t xml:space="preserve">Consultation on electric and hybrid vehicle transition strategies relevant to the</w:t>
      </w:r>
      <w:r>
        <w:t xml:space="preserve"> </w:t>
      </w:r>
      <w:r>
        <w:t xml:space="preserve">Turkey Istanbul</w:t>
      </w:r>
      <w:r>
        <w:t xml:space="preserve"> </w:t>
      </w:r>
      <w:r>
        <w:t xml:space="preserve">municipal transport modernization program.</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Initial site assessment and fleet diagnostic survey in Istanbul</w:t>
            </w:r>
          </w:p>
        </w:tc>
        <w:tc>
          <w:tcPr/>
          <w:p>
            <w:pPr>
              <w:pStyle w:val="Compact"/>
              <w:jc w:val="left"/>
            </w:pPr>
            <w:r>
              <w:t xml:space="preserve">2 days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02</w:t>
            </w:r>
          </w:p>
        </w:tc>
        <w:tc>
          <w:tcPr/>
          <w:p>
            <w:pPr>
              <w:pStyle w:val="Compact"/>
              <w:jc w:val="left"/>
            </w:pPr>
            <w:r>
              <w:t xml:space="preserve">Automotive Engineer on-site technical consultation (per day)</w:t>
            </w:r>
          </w:p>
        </w:tc>
        <w:tc>
          <w:tcPr/>
          <w:p>
            <w:pPr>
              <w:pStyle w:val="Compact"/>
              <w:jc w:val="left"/>
            </w:pPr>
            <w:r>
              <w:t xml:space="preserve">10 days</w:t>
            </w:r>
          </w:p>
        </w:tc>
        <w:tc>
          <w:tcPr/>
          <w:p>
            <w:pPr>
              <w:pStyle w:val="Compact"/>
              <w:jc w:val="left"/>
            </w:pPr>
            <w:r>
              <w:t xml:space="preserve">14,000</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Engine calibration and emissions compliance testing</w:t>
            </w:r>
          </w:p>
        </w:tc>
        <w:tc>
          <w:tcPr/>
          <w:p>
            <w:pPr>
              <w:pStyle w:val="Compact"/>
              <w:jc w:val="left"/>
            </w:pPr>
            <w:r>
              <w:t xml:space="preserve">5 vehicles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Technical documentation and regulatory compliance reporting</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Hybrid/EV transition feasibility study for Istanbul operations</w:t>
            </w:r>
          </w:p>
        </w:tc>
        <w:tc>
          <w:tcPr/>
          <w:p>
            <w:pPr>
              <w:pStyle w:val="Compact"/>
              <w:jc w:val="left"/>
            </w:pPr>
            <w:r>
              <w:t xml:space="preserve">1 study</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Travel, accommodation, and local transport within Turkey Istanbul</w:t>
            </w:r>
          </w:p>
        </w:tc>
        <w:tc>
          <w:tcPr/>
          <w:p>
            <w:pPr>
              <w:pStyle w:val="Compact"/>
              <w:jc w:val="left"/>
            </w:pPr>
            <w:r>
              <w:t xml:space="preserve">15 days</w:t>
            </w:r>
          </w:p>
        </w:tc>
        <w:tc>
          <w:tcPr/>
          <w:p>
            <w:pPr>
              <w:pStyle w:val="Compact"/>
              <w:jc w:val="left"/>
            </w:pPr>
            <w:r>
              <w:t xml:space="preserve">3,200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Project management and client liaison coordination</w:t>
            </w:r>
          </w:p>
        </w:tc>
        <w:tc>
          <w:tcPr/>
          <w:p>
            <w:pPr>
              <w:pStyle w:val="Compact"/>
              <w:jc w:val="left"/>
            </w:pPr>
            <w:r>
              <w:t xml:space="preserve">1 month</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left"/>
            </w:pPr>
            <w:r>
              <w:t xml:space="preserve">Subtotal</w:t>
            </w:r>
          </w:p>
        </w:tc>
        <w:tc>
          <w:tcPr/>
          <w:p>
            <w:pPr>
              <w:pStyle w:val="Compact"/>
              <w:jc w:val="left"/>
            </w:pPr>
            <w:r>
              <w:t xml:space="preserve">377,000</w:t>
            </w:r>
          </w:p>
        </w:tc>
      </w:tr>
      <w:tr>
        <w:tc>
          <w:tcPr>
            <w:gridSpan w:val="4"/>
          </w:tcPr>
          <w:p>
            <w:pPr>
              <w:pStyle w:val="Compact"/>
              <w:jc w:val="left"/>
            </w:pPr>
            <w:r>
              <w:t xml:space="preserve">VAT (20% – Turkish Value Added Tax)</w:t>
            </w:r>
          </w:p>
        </w:tc>
        <w:tc>
          <w:tcPr/>
          <w:p>
            <w:pPr>
              <w:pStyle w:val="Compact"/>
              <w:jc w:val="left"/>
            </w:pPr>
            <w:r>
              <w:t xml:space="preserve">75,400</w:t>
            </w:r>
          </w:p>
        </w:tc>
      </w:tr>
      <w:tr>
        <w:tc>
          <w:tcPr>
            <w:gridSpan w:val="4"/>
          </w:tcPr>
          <w:p>
            <w:pPr>
              <w:pStyle w:val="Compact"/>
              <w:jc w:val="left"/>
            </w:pPr>
            <w:r>
              <w:t xml:space="preserve">Grand Total (TRY)</w:t>
            </w:r>
          </w:p>
        </w:tc>
        <w:tc>
          <w:tcPr/>
          <w:p>
            <w:pPr>
              <w:pStyle w:val="Compact"/>
              <w:jc w:val="left"/>
            </w:pPr>
            <w:r>
              <w:t xml:space="preserve">452,400</w:t>
            </w:r>
          </w:p>
        </w:tc>
      </w:tr>
    </w:tbl>
    <w:bookmarkEnd w:id="23"/>
    <w:bookmarkStart w:id="24" w:name="payment-terms-and-conditions"/>
    <w:p>
      <w:pPr>
        <w:pStyle w:val="Heading2"/>
      </w:pPr>
      <w:r>
        <w:t xml:space="preserve">4. Payment Terms and Conditions</w:t>
      </w:r>
    </w:p>
    <w:p>
      <w:pPr>
        <w:pStyle w:val="FirstParagraph"/>
      </w:pPr>
      <w:r>
        <w:rPr>
          <w:bCs/>
          <w:b/>
        </w:rPr>
        <w:t xml:space="preserve">4.1</w:t>
      </w:r>
      <w:r>
        <w:t xml:space="preserve"> </w:t>
      </w:r>
      <w:r>
        <w:t xml:space="preserve">Payment shall be made in Turkish Lira (TRY) via bank transfer to the account designated by the</w:t>
      </w:r>
      <w:r>
        <w:t xml:space="preserve"> </w:t>
      </w:r>
      <w:r>
        <w:t xml:space="preserve">Automotive Engineer</w:t>
      </w:r>
      <w:r>
        <w:t xml:space="preserve"> </w:t>
      </w:r>
      <w:r>
        <w:t xml:space="preserve">service provider. A 30% advance payment is required upon acceptance of this</w:t>
      </w:r>
      <w:r>
        <w:t xml:space="preserve"> </w:t>
      </w:r>
      <w:r>
        <w:t xml:space="preserve">Quotation Estimate</w:t>
      </w:r>
      <w:r>
        <w:t xml:space="preserve"> </w:t>
      </w:r>
      <w:r>
        <w:t xml:space="preserve">to secure the project timeline.</w:t>
      </w:r>
    </w:p>
    <w:p>
      <w:pPr>
        <w:pStyle w:val="BodyText"/>
      </w:pPr>
      <w:r>
        <w:rPr>
          <w:bCs/>
          <w:b/>
        </w:rPr>
        <w:t xml:space="preserve">4.2</w:t>
      </w:r>
      <w:r>
        <w:t xml:space="preserve"> </w:t>
      </w:r>
      <w:r>
        <w:t xml:space="preserve">The remaining 70% shall be invoiced in two equal installments: 35% upon completion of the on-site diagnostic and calibration phase, and 35% upon delivery of the final technical documentation and compliance certificates.</w:t>
      </w:r>
    </w:p>
    <w:p>
      <w:pPr>
        <w:pStyle w:val="BodyText"/>
      </w:pPr>
      <w:r>
        <w:rPr>
          <w:bCs/>
          <w:b/>
        </w:rPr>
        <w:t xml:space="preserve">4.3</w:t>
      </w:r>
      <w:r>
        <w:t xml:space="preserve"> </w:t>
      </w:r>
      <w:r>
        <w:t xml:space="preserve">All payments are due within 15 calendar days of invoice issuance. Late payments shall incur a penalty of 1.5% per month, in accordance with Turkish commercial law (Türk Ticaret Kanunu).</w:t>
      </w:r>
    </w:p>
    <w:p>
      <w:pPr>
        <w:pStyle w:val="BodyText"/>
      </w:pPr>
      <w:r>
        <w:rPr>
          <w:bCs/>
          <w:b/>
        </w:rPr>
        <w:t xml:space="preserve">4.4</w:t>
      </w:r>
      <w:r>
        <w:t xml:space="preserve"> </w:t>
      </w:r>
      <w:r>
        <w:t xml:space="preserve">This</w:t>
      </w:r>
      <w:r>
        <w:t xml:space="preserve"> </w:t>
      </w:r>
      <w:r>
        <w:t xml:space="preserve">Quotation Estimate</w:t>
      </w:r>
      <w:r>
        <w:t xml:space="preserve"> </w:t>
      </w:r>
      <w:r>
        <w:t xml:space="preserve">is valid for 30 days from the date of issue. Should the client require a revised estimate beyond this period, the</w:t>
      </w:r>
      <w:r>
        <w:t xml:space="preserve"> </w:t>
      </w:r>
      <w:r>
        <w:t xml:space="preserve">Automotive Engineer</w:t>
      </w:r>
      <w:r>
        <w:t xml:space="preserve"> </w:t>
      </w:r>
      <w:r>
        <w:t xml:space="preserve">reserves the right to adjust pricing based on prevailing market conditions in</w:t>
      </w:r>
      <w:r>
        <w:t xml:space="preserve"> </w:t>
      </w:r>
      <w:r>
        <w:t xml:space="preserve">Turkey Istanbul</w:t>
      </w:r>
      <w:r>
        <w:t xml:space="preserve">.</w:t>
      </w:r>
    </w:p>
    <w:bookmarkEnd w:id="24"/>
    <w:bookmarkStart w:id="25" w:name="project-timeline-and-milestones"/>
    <w:p>
      <w:pPr>
        <w:pStyle w:val="Heading2"/>
      </w:pPr>
      <w:r>
        <w:t xml:space="preserve">5.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w:t>
            </w:r>
          </w:p>
        </w:tc>
        <w:tc>
          <w:tcPr/>
          <w:p>
            <w:pPr>
              <w:pStyle w:val="Compact"/>
              <w:jc w:val="left"/>
            </w:pPr>
            <w:r>
              <w:t xml:space="preserve">Deliverable</w:t>
            </w:r>
          </w:p>
        </w:tc>
      </w:tr>
      <w:tr>
        <w:tc>
          <w:tcPr/>
          <w:p>
            <w:pPr>
              <w:pStyle w:val="Compact"/>
              <w:jc w:val="left"/>
            </w:pPr>
            <w:r>
              <w:t xml:space="preserve">Project Kick-off and Site Access</w:t>
            </w:r>
          </w:p>
        </w:tc>
        <w:tc>
          <w:tcPr/>
          <w:p>
            <w:pPr>
              <w:pStyle w:val="Compact"/>
              <w:jc w:val="left"/>
            </w:pPr>
            <w:r>
              <w:t xml:space="preserve">Week 1</w:t>
            </w:r>
          </w:p>
        </w:tc>
        <w:tc>
          <w:tcPr/>
          <w:p>
            <w:pPr>
              <w:pStyle w:val="Compact"/>
              <w:jc w:val="left"/>
            </w:pPr>
            <w:r>
              <w:t xml:space="preserve">Access agreements signed</w:t>
            </w:r>
          </w:p>
        </w:tc>
      </w:tr>
      <w:tr>
        <w:tc>
          <w:tcPr/>
          <w:p>
            <w:pPr>
              <w:pStyle w:val="Compact"/>
              <w:jc w:val="left"/>
            </w:pPr>
            <w:r>
              <w:t xml:space="preserve">Diagnostic Survey Completion</w:t>
            </w:r>
          </w:p>
        </w:tc>
        <w:tc>
          <w:tcPr/>
          <w:p>
            <w:pPr>
              <w:pStyle w:val="Compact"/>
              <w:jc w:val="left"/>
            </w:pPr>
            <w:r>
              <w:t xml:space="preserve">Week 2</w:t>
            </w:r>
          </w:p>
        </w:tc>
        <w:tc>
          <w:tcPr/>
          <w:p>
            <w:pPr>
              <w:pStyle w:val="Compact"/>
              <w:jc w:val="left"/>
            </w:pPr>
            <w:r>
              <w:t xml:space="preserve">Preliminary findings report</w:t>
            </w:r>
          </w:p>
        </w:tc>
      </w:tr>
      <w:tr>
        <w:tc>
          <w:tcPr/>
          <w:p>
            <w:pPr>
              <w:pStyle w:val="Compact"/>
              <w:jc w:val="left"/>
            </w:pPr>
            <w:r>
              <w:t xml:space="preserve">Calibration and Testing Phase</w:t>
            </w:r>
          </w:p>
        </w:tc>
        <w:tc>
          <w:tcPr/>
          <w:p>
            <w:pPr>
              <w:pStyle w:val="Compact"/>
              <w:jc w:val="left"/>
            </w:pPr>
            <w:r>
              <w:t xml:space="preserve">Weeks 3–4</w:t>
            </w:r>
          </w:p>
        </w:tc>
        <w:tc>
          <w:tcPr/>
          <w:p>
            <w:pPr>
              <w:pStyle w:val="Compact"/>
              <w:jc w:val="left"/>
            </w:pPr>
            <w:r>
              <w:t xml:space="preserve">Vehicle compliance certificates</w:t>
            </w:r>
          </w:p>
        </w:tc>
      </w:tr>
      <w:tr>
        <w:tc>
          <w:tcPr/>
          <w:p>
            <w:pPr>
              <w:pStyle w:val="Compact"/>
              <w:jc w:val="left"/>
            </w:pPr>
            <w:r>
              <w:t xml:space="preserve">EV/Hybrid Feasibility Study</w:t>
            </w:r>
          </w:p>
        </w:tc>
        <w:tc>
          <w:tcPr/>
          <w:p>
            <w:pPr>
              <w:pStyle w:val="Compact"/>
              <w:jc w:val="left"/>
            </w:pPr>
            <w:r>
              <w:t xml:space="preserve">Week 5</w:t>
            </w:r>
          </w:p>
        </w:tc>
        <w:tc>
          <w:tcPr/>
          <w:p>
            <w:pPr>
              <w:pStyle w:val="Compact"/>
              <w:jc w:val="left"/>
            </w:pPr>
            <w:r>
              <w:t xml:space="preserve">Technical feasibility report</w:t>
            </w:r>
          </w:p>
        </w:tc>
      </w:tr>
      <w:tr>
        <w:tc>
          <w:tcPr/>
          <w:p>
            <w:pPr>
              <w:pStyle w:val="Compact"/>
              <w:jc w:val="left"/>
            </w:pPr>
            <w:r>
              <w:t xml:space="preserve">Final Documentation and Handover</w:t>
            </w:r>
          </w:p>
        </w:tc>
        <w:tc>
          <w:tcPr/>
          <w:p>
            <w:pPr>
              <w:pStyle w:val="Compact"/>
              <w:jc w:val="left"/>
            </w:pPr>
            <w:r>
              <w:t xml:space="preserve">Week 6</w:t>
            </w:r>
          </w:p>
        </w:tc>
        <w:tc>
          <w:tcPr/>
          <w:p>
            <w:pPr>
              <w:pStyle w:val="Compact"/>
              <w:jc w:val="left"/>
            </w:pPr>
            <w:r>
              <w:t xml:space="preserve">Complete project dossier</w:t>
            </w:r>
          </w:p>
        </w:tc>
      </w:tr>
    </w:tbl>
    <w:bookmarkEnd w:id="25"/>
    <w:bookmarkStart w:id="26" w:name="terms-limitations-and-governing-law"/>
    <w:p>
      <w:pPr>
        <w:pStyle w:val="Heading2"/>
      </w:pPr>
      <w:r>
        <w:t xml:space="preserve">6. Terms, Limitations, and Governing Law</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constitutes a formal offer and does not create a binding contractual obligation until countersigned by both parties. The engagement of the</w:t>
      </w:r>
      <w:r>
        <w:t xml:space="preserve"> </w:t>
      </w:r>
      <w:r>
        <w:t xml:space="preserve">Automotive Engineer</w:t>
      </w:r>
      <w:r>
        <w:t xml:space="preserve"> </w:t>
      </w:r>
      <w:r>
        <w:t xml:space="preserve">shall be governed by a separate Service Agreement to be executed upon acceptance.</w:t>
      </w:r>
    </w:p>
    <w:p>
      <w:pPr>
        <w:pStyle w:val="BodyText"/>
      </w:pPr>
      <w:r>
        <w:rPr>
          <w:bCs/>
          <w:b/>
        </w:rPr>
        <w:t xml:space="preserve">6.2</w:t>
      </w:r>
      <w:r>
        <w:t xml:space="preserve"> </w:t>
      </w:r>
      <w:r>
        <w:t xml:space="preserve">All services shall be performed in compliance with the regulations of the Republic of Turkey, including but not limited to the Turkish Code of Obligations (Türk Borçlar Kanunu) and applicable automotive industry standards set by the Turkish Standards Institution (TSE).</w:t>
      </w:r>
    </w:p>
    <w:p>
      <w:pPr>
        <w:pStyle w:val="BodyText"/>
      </w:pPr>
      <w:r>
        <w:rPr>
          <w:bCs/>
          <w:b/>
        </w:rPr>
        <w:t xml:space="preserve">6.3</w:t>
      </w:r>
      <w:r>
        <w:t xml:space="preserve"> </w:t>
      </w:r>
      <w:r>
        <w:t xml:space="preserve">The</w:t>
      </w:r>
      <w:r>
        <w:t xml:space="preserve"> </w:t>
      </w:r>
      <w:r>
        <w:t xml:space="preserve">Automotive Engineer</w:t>
      </w:r>
      <w:r>
        <w:t xml:space="preserve"> </w:t>
      </w:r>
      <w:r>
        <w:t xml:space="preserve">shall maintain professional liability insurance with a minimum coverage of 5,000,000 TRY throughout the duration of the engagement in</w:t>
      </w:r>
      <w:r>
        <w:t xml:space="preserve"> </w:t>
      </w:r>
      <w:r>
        <w:t xml:space="preserve">Turkey Istanbul</w:t>
      </w:r>
      <w:r>
        <w:t xml:space="preserve">.</w:t>
      </w:r>
    </w:p>
    <w:p>
      <w:pPr>
        <w:pStyle w:val="BodyText"/>
      </w:pPr>
      <w:r>
        <w:rPr>
          <w:bCs/>
          <w:b/>
        </w:rPr>
        <w:t xml:space="preserve">6.4</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the Istanbul Arbitration Institute (ISTAC) in accordance with its rules of procedure.</w:t>
      </w:r>
    </w:p>
    <w:p>
      <w:pPr>
        <w:pStyle w:val="BodyText"/>
      </w:pPr>
      <w:r>
        <w:rPr>
          <w:bCs/>
          <w:b/>
        </w:rPr>
        <w:t xml:space="preserve">6.5</w:t>
      </w:r>
      <w:r>
        <w:t xml:space="preserve"> </w:t>
      </w:r>
      <w:r>
        <w:t xml:space="preserve">The client acknowledges that the</w:t>
      </w:r>
      <w:r>
        <w:t xml:space="preserve"> </w:t>
      </w:r>
      <w:r>
        <w:t xml:space="preserve">Automotive Engineer</w:t>
      </w:r>
      <w:r>
        <w:t xml:space="preserve"> </w:t>
      </w:r>
      <w:r>
        <w:t xml:space="preserve">operates independently and is not an employee or agent of the client. All intellectual property generated during the course of the project shall be jointly owned unless otherwise specified in the Service Agreement.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Automotive Engineer</w:t>
      </w:r>
      <w:r>
        <w:t xml:space="preserve"> </w:t>
      </w:r>
      <w:r>
        <w:t xml:space="preserve">in</w:t>
      </w:r>
      <w:r>
        <w:t xml:space="preserve"> </w:t>
      </w:r>
      <w:r>
        <w:t xml:space="preserve">Turkey Istanbul</w:t>
      </w:r>
      <w:r>
        <w:t xml:space="preserve">. This document shall serve as the foundational reference for all subsequent project communications and financial transactions.</w:t>
      </w:r>
    </w:p>
    <w:p>
      <w:pPr>
        <w:pStyle w:val="BodyText"/>
      </w:pPr>
      <w:r>
        <w:rPr>
          <w:bCs/>
          <w:b/>
        </w:rPr>
        <w:t xml:space="preserve">For the Service Provider</w:t>
      </w:r>
      <w:r>
        <w:br/>
      </w:r>
      <w:r>
        <w:t xml:space="preserve">Automotive Engineer – Istanbul Office</w:t>
      </w:r>
      <w:r>
        <w:br/>
      </w:r>
      <w:r>
        <w:t xml:space="preserve">Name: _________________________</w:t>
      </w:r>
      <w:r>
        <w:br/>
      </w:r>
      <w:r>
        <w:t xml:space="preserve">Date: _________________________</w:t>
      </w:r>
      <w:r>
        <w:br/>
      </w:r>
      <w:r>
        <w:t xml:space="preserve">Stamp / Seal</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r>
        <w:br/>
      </w:r>
      <w:r>
        <w:t xml:space="preserve">Stamp / Seal</w:t>
      </w:r>
    </w:p>
    <w:p>
      <w:pPr>
        <w:pStyle w:val="BodyText"/>
      </w:pPr>
      <w:r>
        <w:t xml:space="preserve">This Quotation Estimate (Ref: QE-IST-2025-0472) is issued for the exclusive use of the named client in Turkey Istanbul. Unauthorized reproduction or distribution is prohibited. All rights reserved. © 2025 Automotive Engineering Services – Istanbul, Turkey.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Turkey Istanbul</dc:title>
  <dc:creator/>
  <dc:language>en</dc:language>
  <cp:keywords/>
  <dcterms:created xsi:type="dcterms:W3CDTF">2026-10-10T09:10:26Z</dcterms:created>
  <dcterms:modified xsi:type="dcterms:W3CDTF">2026-10-10T09:10:26Z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