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Baker</w:t>
      </w:r>
      <w:r>
        <w:t xml:space="preserve"> </w:t>
      </w:r>
      <w:r>
        <w:t xml:space="preserve">-</w:t>
      </w:r>
      <w:r>
        <w:t xml:space="preserve"> </w:t>
      </w:r>
      <w:r>
        <w:t xml:space="preserve">Chile</w:t>
      </w:r>
      <w:r>
        <w:t xml:space="preserve"> </w:t>
      </w:r>
      <w:r>
        <w:t xml:space="preserve">Santiago</w:t>
      </w:r>
    </w:p>
    <w:bookmarkStart w:id="20" w:name="baker"/>
    <w:p>
      <w:pPr>
        <w:pStyle w:val="Heading1"/>
      </w:pPr>
      <w:r>
        <w:t xml:space="preserve">BAKER</w:t>
      </w:r>
    </w:p>
    <w:p>
      <w:pPr>
        <w:pStyle w:val="FirstParagraph"/>
      </w:pPr>
      <w:r>
        <w:t xml:space="preserve">Baker Professional Services &amp; Solutions SpA</w:t>
      </w:r>
    </w:p>
    <w:p>
      <w:pPr>
        <w:pStyle w:val="BodyText"/>
      </w:pPr>
      <w:r>
        <w:t xml:space="preserve">Av. Apoquindo 4501, Piso 12, Las Condes</w:t>
      </w:r>
    </w:p>
    <w:p>
      <w:pPr>
        <w:pStyle w:val="BodyText"/>
      </w:pPr>
      <w:r>
        <w:t xml:space="preserve">Santiago, Chile</w:t>
      </w:r>
    </w:p>
    <w:p>
      <w:pPr>
        <w:pStyle w:val="BodyText"/>
      </w:pPr>
      <w:r>
        <w:t xml:space="preserve">RUT: 76.543.210-K</w:t>
      </w:r>
    </w:p>
    <w:p>
      <w:pPr>
        <w:pStyle w:val="BodyText"/>
      </w:pPr>
      <w:r>
        <w:t xml:space="preserve">Phone: +56 2 2345 6789</w:t>
      </w:r>
    </w:p>
    <w:p>
      <w:pPr>
        <w:pStyle w:val="BodyText"/>
      </w:pPr>
      <w:r>
        <w:t xml:space="preserve">Email: quotations@baker-chile.cl</w:t>
      </w:r>
    </w:p>
    <w:bookmarkEnd w:id="20"/>
    <w:bookmarkStart w:id="21" w:name="quotation-estimate"/>
    <w:p>
      <w:pPr>
        <w:pStyle w:val="Heading2"/>
      </w:pPr>
      <w:r>
        <w:t xml:space="preserve">QUOTATION ESTIMATE</w:t>
      </w:r>
    </w:p>
    <w:p>
      <w:pPr>
        <w:pStyle w:val="FirstParagraph"/>
      </w:pPr>
      <w:r>
        <w:rPr>
          <w:bCs/>
          <w:b/>
        </w:rPr>
        <w:t xml:space="preserve">Document No.:</w:t>
      </w:r>
      <w:r>
        <w:t xml:space="preserve"> </w:t>
      </w:r>
      <w:r>
        <w:t xml:space="preserve">BAKER-QE-2025-0487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Location:</w:t>
      </w:r>
      <w:r>
        <w:t xml:space="preserve"> </w:t>
      </w:r>
      <w:r>
        <w:t xml:space="preserve">Chile Santiago</w:t>
      </w:r>
    </w:p>
    <w:bookmarkEnd w:id="21"/>
    <w:bookmarkStart w:id="22" w:name="client-information"/>
    <w:p>
      <w:pPr>
        <w:pStyle w:val="Heading3"/>
      </w:pPr>
      <w:r>
        <w:t xml:space="preserve">1. Client Information</w:t>
      </w:r>
    </w:p>
    <w:p>
      <w:pPr>
        <w:pStyle w:val="FirstParagraph"/>
      </w:pPr>
      <w:r>
        <w:rPr>
          <w:bCs/>
          <w:b/>
        </w:rPr>
        <w:t xml:space="preserve">Client Name:</w:t>
      </w:r>
      <w:r>
        <w:t xml:space="preserve"> </w:t>
      </w:r>
      <w:r>
        <w:t xml:space="preserve">Constructora Andina del Pacífico SpA</w:t>
      </w:r>
    </w:p>
    <w:p>
      <w:pPr>
        <w:pStyle w:val="BodyText"/>
      </w:pPr>
      <w:r>
        <w:rPr>
          <w:bCs/>
          <w:b/>
        </w:rPr>
        <w:t xml:space="preserve">Contact Person:</w:t>
      </w:r>
      <w:r>
        <w:t xml:space="preserve"> </w:t>
      </w:r>
      <w:r>
        <w:t xml:space="preserve">Ing. María Fernanda Rojas</w:t>
      </w:r>
    </w:p>
    <w:p>
      <w:pPr>
        <w:pStyle w:val="BodyText"/>
      </w:pPr>
      <w:r>
        <w:rPr>
          <w:bCs/>
          <w:b/>
        </w:rPr>
        <w:t xml:space="preserve">Address:</w:t>
      </w:r>
      <w:r>
        <w:t xml:space="preserve"> </w:t>
      </w:r>
      <w:r>
        <w:t xml:space="preserve">Av. Providencia 1200, Of. 805, Providencia, Santiago, Chile</w:t>
      </w:r>
    </w:p>
    <w:p>
      <w:pPr>
        <w:pStyle w:val="BodyText"/>
      </w:pPr>
      <w:r>
        <w:rPr>
          <w:bCs/>
          <w:b/>
        </w:rPr>
        <w:t xml:space="preserve">RUT:</w:t>
      </w:r>
      <w:r>
        <w:t xml:space="preserve"> </w:t>
      </w:r>
      <w:r>
        <w:t xml:space="preserve">78.123.456-7</w:t>
      </w:r>
    </w:p>
    <w:p>
      <w:pPr>
        <w:pStyle w:val="BodyText"/>
      </w:pPr>
      <w:r>
        <w:rPr>
          <w:bCs/>
          <w:b/>
        </w:rPr>
        <w:t xml:space="preserve">Email:</w:t>
      </w:r>
      <w:r>
        <w:t xml:space="preserve"> </w:t>
      </w:r>
      <w:r>
        <w:t xml:space="preserve">m.rojas@constructoraandina.cl</w:t>
      </w:r>
    </w:p>
    <w:p>
      <w:pPr>
        <w:pStyle w:val="BodyText"/>
      </w:pPr>
      <w:r>
        <w:rPr>
          <w:bCs/>
          <w:b/>
        </w:rPr>
        <w:t xml:space="preserve">Phone:</w:t>
      </w:r>
      <w:r>
        <w:t xml:space="preserve"> </w:t>
      </w:r>
      <w:r>
        <w:t xml:space="preserve">+56 9 8765 4321</w:t>
      </w:r>
    </w:p>
    <w:bookmarkEnd w:id="22"/>
    <w:bookmarkStart w:id="23" w:name="scope-of-work-and-description"/>
    <w:p>
      <w:pPr>
        <w:pStyle w:val="Heading3"/>
      </w:pPr>
      <w:r>
        <w:t xml:space="preserve">2. Scope of Work and Description</w:t>
      </w:r>
    </w:p>
    <w:p>
      <w:pPr>
        <w:pStyle w:val="FirstParagraph"/>
      </w:pPr>
      <w:r>
        <w:t xml:space="preserve">This</w:t>
      </w:r>
      <w:r>
        <w:t xml:space="preserve"> </w:t>
      </w:r>
      <w:r>
        <w:t xml:space="preserve">Quotation Estimate</w:t>
      </w:r>
      <w:r>
        <w:t xml:space="preserve"> </w:t>
      </w:r>
      <w:r>
        <w:t xml:space="preserve">is issued by</w:t>
      </w:r>
      <w:r>
        <w:t xml:space="preserve"> </w:t>
      </w:r>
      <w:r>
        <w:t xml:space="preserve">Baker</w:t>
      </w:r>
      <w:r>
        <w:t xml:space="preserve"> </w:t>
      </w:r>
      <w:r>
        <w:t xml:space="preserve">Professional Services &amp; Solutions SpA, a registered company operating in</w:t>
      </w:r>
      <w:r>
        <w:t xml:space="preserve"> </w:t>
      </w:r>
      <w:r>
        <w:t xml:space="preserve">Chile Santiago</w:t>
      </w:r>
      <w:r>
        <w:t xml:space="preserve">, to provide comprehensive architectural design, structural engineering consultation, and project management services for the construction of a mixed-use commercial and residential development located in the commune of Las Condes, Santiago, Chile. The project encompasses a twelve-story building with a total constructed area of approximately 8,500 square meters, including ground-floor retail spaces, offices on floors two through nine, and residential units on floors ten through twelve.</w:t>
      </w:r>
    </w:p>
    <w:p>
      <w:pPr>
        <w:pStyle w:val="BodyText"/>
      </w:pPr>
      <w:r>
        <w:t xml:space="preserve">Baker has been engaged to deliver all preliminary design documentation, structural analysis and design, MEP (Mechanical, Electrical, and Plumbing) coordination, and full project management oversight from the conceptual phase through to final handover. All services will be performed in compliance with the Chilean Building Code (NCh), the regulations of the Superintendencia de Servicios Sanitarios, and the municipal zoning ordinances of the Metropolitan Region of Santiago.</w:t>
      </w:r>
    </w:p>
    <w:bookmarkEnd w:id="23"/>
    <w:bookmarkStart w:id="24" w:name="itemized-cost-breakdown"/>
    <w:p>
      <w:pPr>
        <w:pStyle w:val="Heading3"/>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(CLP)</w:t>
            </w:r>
          </w:p>
        </w:tc>
        <w:tc>
          <w:tcPr/>
          <w:p>
            <w:pPr>
              <w:pStyle w:val="Compact"/>
              <w:jc w:val="left"/>
            </w:pPr>
            <w:r>
              <w:t xml:space="preserve">Subtotal (CLP)</w:t>
            </w:r>
          </w:p>
        </w:tc>
      </w:tr>
      <w:tr>
        <w:tc>
          <w:tcPr/>
          <w:p>
            <w:pPr>
              <w:pStyle w:val="Compact"/>
              <w:jc w:val="left"/>
            </w:pPr>
            <w:r>
              <w:t xml:space="preserve">01</w:t>
            </w:r>
          </w:p>
        </w:tc>
        <w:tc>
          <w:tcPr/>
          <w:p>
            <w:pPr>
              <w:pStyle w:val="Compact"/>
              <w:jc w:val="left"/>
            </w:pPr>
            <w:r>
              <w:t xml:space="preserve">Architectural Conceptual Design and Feasibility Study</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45,000,000</w:t>
            </w:r>
          </w:p>
        </w:tc>
        <w:tc>
          <w:tcPr/>
          <w:p>
            <w:pPr>
              <w:pStyle w:val="Compact"/>
              <w:jc w:val="left"/>
            </w:pPr>
            <w:r>
              <w:t xml:space="preserve">45,000,000</w:t>
            </w:r>
          </w:p>
        </w:tc>
      </w:tr>
      <w:tr>
        <w:tc>
          <w:tcPr/>
          <w:p>
            <w:pPr>
              <w:pStyle w:val="Compact"/>
              <w:jc w:val="left"/>
            </w:pPr>
            <w:r>
              <w:t xml:space="preserve">02</w:t>
            </w:r>
          </w:p>
        </w:tc>
        <w:tc>
          <w:tcPr/>
          <w:p>
            <w:pPr>
              <w:pStyle w:val="Compact"/>
              <w:jc w:val="left"/>
            </w:pPr>
            <w:r>
              <w:t xml:space="preserve">Structural Engineering Analysis and Design (12 floors)</w:t>
            </w:r>
          </w:p>
        </w:tc>
        <w:tc>
          <w:tcPr/>
          <w:p>
            <w:pPr>
              <w:pStyle w:val="Compact"/>
              <w:jc w:val="left"/>
            </w:pPr>
            <w:r>
              <w:t xml:space="preserve">8,500</w:t>
            </w:r>
          </w:p>
        </w:tc>
        <w:tc>
          <w:tcPr/>
          <w:p>
            <w:pPr>
              <w:pStyle w:val="Compact"/>
              <w:jc w:val="left"/>
            </w:pPr>
            <w:r>
              <w:t xml:space="preserve">m²</w:t>
            </w:r>
          </w:p>
        </w:tc>
        <w:tc>
          <w:tcPr/>
          <w:p>
            <w:pPr>
              <w:pStyle w:val="Compact"/>
              <w:jc w:val="left"/>
            </w:pPr>
            <w:r>
              <w:t xml:space="preserve">38,500</w:t>
            </w:r>
          </w:p>
        </w:tc>
        <w:tc>
          <w:tcPr/>
          <w:p>
            <w:pPr>
              <w:pStyle w:val="Compact"/>
              <w:jc w:val="left"/>
            </w:pPr>
            <w:r>
              <w:t xml:space="preserve">327,250,000</w:t>
            </w:r>
          </w:p>
        </w:tc>
      </w:tr>
      <w:tr>
        <w:tc>
          <w:tcPr/>
          <w:p>
            <w:pPr>
              <w:pStyle w:val="Compact"/>
              <w:jc w:val="left"/>
            </w:pPr>
            <w:r>
              <w:t xml:space="preserve">03</w:t>
            </w:r>
          </w:p>
        </w:tc>
        <w:tc>
          <w:tcPr/>
          <w:p>
            <w:pPr>
              <w:pStyle w:val="Compact"/>
              <w:jc w:val="left"/>
            </w:pPr>
            <w:r>
              <w:t xml:space="preserve">MEP Coordination and Systems Design</w:t>
            </w:r>
          </w:p>
        </w:tc>
        <w:tc>
          <w:tcPr/>
          <w:p>
            <w:pPr>
              <w:pStyle w:val="Compact"/>
              <w:jc w:val="left"/>
            </w:pPr>
            <w:r>
              <w:t xml:space="preserve">8,500</w:t>
            </w:r>
          </w:p>
        </w:tc>
        <w:tc>
          <w:tcPr/>
          <w:p>
            <w:pPr>
              <w:pStyle w:val="Compact"/>
              <w:jc w:val="left"/>
            </w:pPr>
            <w:r>
              <w:t xml:space="preserve">m²</w:t>
            </w:r>
          </w:p>
        </w:tc>
        <w:tc>
          <w:tcPr/>
          <w:p>
            <w:pPr>
              <w:pStyle w:val="Compact"/>
              <w:jc w:val="left"/>
            </w:pPr>
            <w:r>
              <w:t xml:space="preserve">22,000</w:t>
            </w:r>
          </w:p>
        </w:tc>
        <w:tc>
          <w:tcPr/>
          <w:p>
            <w:pPr>
              <w:pStyle w:val="Compact"/>
              <w:jc w:val="left"/>
            </w:pPr>
            <w:r>
              <w:t xml:space="preserve">187,000,000</w:t>
            </w:r>
          </w:p>
        </w:tc>
      </w:tr>
      <w:tr>
        <w:tc>
          <w:tcPr/>
          <w:p>
            <w:pPr>
              <w:pStyle w:val="Compact"/>
              <w:jc w:val="left"/>
            </w:pPr>
            <w:r>
              <w:t xml:space="preserve">04</w:t>
            </w:r>
          </w:p>
        </w:tc>
        <w:tc>
          <w:tcPr/>
          <w:p>
            <w:pPr>
              <w:pStyle w:val="Compact"/>
              <w:jc w:val="left"/>
            </w:pPr>
            <w:r>
              <w:t xml:space="preserve">Project Management and Site Supervision (18 months)</w:t>
            </w:r>
          </w:p>
        </w:tc>
        <w:tc>
          <w:tcPr/>
          <w:p>
            <w:pPr>
              <w:pStyle w:val="Compact"/>
              <w:jc w:val="left"/>
            </w:pPr>
            <w:r>
              <w:t xml:space="preserve">18</w:t>
            </w:r>
          </w:p>
        </w:tc>
        <w:tc>
          <w:tcPr/>
          <w:p>
            <w:pPr>
              <w:pStyle w:val="Compact"/>
              <w:jc w:val="left"/>
            </w:pPr>
            <w:r>
              <w:t xml:space="preserve">Months</w:t>
            </w:r>
          </w:p>
        </w:tc>
        <w:tc>
          <w:tcPr/>
          <w:p>
            <w:pPr>
              <w:pStyle w:val="Compact"/>
              <w:jc w:val="left"/>
            </w:pPr>
            <w:r>
              <w:t xml:space="preserve">8,500,000</w:t>
            </w:r>
          </w:p>
        </w:tc>
        <w:tc>
          <w:tcPr/>
          <w:p>
            <w:pPr>
              <w:pStyle w:val="Compact"/>
              <w:jc w:val="left"/>
            </w:pPr>
            <w:r>
              <w:t xml:space="preserve">153,000,000</w:t>
            </w:r>
          </w:p>
        </w:tc>
      </w:tr>
      <w:tr>
        <w:tc>
          <w:tcPr/>
          <w:p>
            <w:pPr>
              <w:pStyle w:val="Compact"/>
              <w:jc w:val="left"/>
            </w:pPr>
            <w:r>
              <w:t xml:space="preserve">05</w:t>
            </w:r>
          </w:p>
        </w:tc>
        <w:tc>
          <w:tcPr/>
          <w:p>
            <w:pPr>
              <w:pStyle w:val="Compact"/>
              <w:jc w:val="left"/>
            </w:pPr>
            <w:r>
              <w:t xml:space="preserve">Permitting, Regulatory Compliance, and Municipal Submissions (Santiago)</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28,000,000</w:t>
            </w:r>
          </w:p>
        </w:tc>
        <w:tc>
          <w:tcPr/>
          <w:p>
            <w:pPr>
              <w:pStyle w:val="Compact"/>
              <w:jc w:val="left"/>
            </w:pPr>
            <w:r>
              <w:t xml:space="preserve">28,000,000</w:t>
            </w:r>
          </w:p>
        </w:tc>
      </w:tr>
      <w:tr>
        <w:tc>
          <w:tcPr/>
          <w:p>
            <w:pPr>
              <w:pStyle w:val="Compact"/>
              <w:jc w:val="left"/>
            </w:pPr>
            <w:r>
              <w:t xml:space="preserve">06</w:t>
            </w:r>
          </w:p>
        </w:tc>
        <w:tc>
          <w:tcPr/>
          <w:p>
            <w:pPr>
              <w:pStyle w:val="Compact"/>
              <w:jc w:val="left"/>
            </w:pPr>
            <w:r>
              <w:t xml:space="preserve">Seismic Analysis and Geotechnical Report Coordination</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35,000,000</w:t>
            </w:r>
          </w:p>
        </w:tc>
        <w:tc>
          <w:tcPr/>
          <w:p>
            <w:pPr>
              <w:pStyle w:val="Compact"/>
              <w:jc w:val="left"/>
            </w:pPr>
            <w:r>
              <w:t xml:space="preserve">35,000,000</w:t>
            </w:r>
          </w:p>
        </w:tc>
      </w:tr>
      <w:tr>
        <w:tc>
          <w:tcPr/>
          <w:p>
            <w:pPr>
              <w:pStyle w:val="Compact"/>
              <w:jc w:val="left"/>
            </w:pPr>
            <w:r>
              <w:t xml:space="preserve">07</w:t>
            </w:r>
          </w:p>
        </w:tc>
        <w:tc>
          <w:tcPr/>
          <w:p>
            <w:pPr>
              <w:pStyle w:val="Compact"/>
              <w:jc w:val="left"/>
            </w:pPr>
            <w:r>
              <w:t xml:space="preserve">Sustainability Certification (LEED Gold) Consulting</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42,000,000</w:t>
            </w:r>
          </w:p>
        </w:tc>
        <w:tc>
          <w:tcPr/>
          <w:p>
            <w:pPr>
              <w:pStyle w:val="Compact"/>
              <w:jc w:val="left"/>
            </w:pPr>
            <w:r>
              <w:t xml:space="preserve">42,000,000</w:t>
            </w:r>
          </w:p>
        </w:tc>
      </w:tr>
      <w:tr>
        <w:tc>
          <w:tcPr/>
          <w:p>
            <w:pPr>
              <w:pStyle w:val="Compact"/>
              <w:jc w:val="left"/>
            </w:pPr>
            <w:r>
              <w:t xml:space="preserve">08</w:t>
            </w:r>
          </w:p>
        </w:tc>
        <w:tc>
          <w:tcPr/>
          <w:p>
            <w:pPr>
              <w:pStyle w:val="Compact"/>
              <w:jc w:val="left"/>
            </w:pPr>
            <w:r>
              <w:t xml:space="preserve">As-Built Documentation and Final Handover Package</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18,000,000</w:t>
            </w:r>
          </w:p>
        </w:tc>
        <w:tc>
          <w:tcPr/>
          <w:p>
            <w:pPr>
              <w:pStyle w:val="Compact"/>
              <w:jc w:val="left"/>
            </w:pPr>
            <w:r>
              <w:t xml:space="preserve">18,000,000</w:t>
            </w:r>
          </w:p>
        </w:tc>
      </w:tr>
      <w:tr>
        <w:tc>
          <w:tcPr>
            <w:gridSpan w:val="5"/>
          </w:tcPr>
          <w:p>
            <w:pPr>
              <w:pStyle w:val="Compact"/>
              <w:jc w:val="left"/>
            </w:pPr>
            <w:r>
              <w:t xml:space="preserve">SUBTOTAL (CLP)</w:t>
            </w:r>
          </w:p>
        </w:tc>
        <w:tc>
          <w:tcPr/>
          <w:p>
            <w:pPr>
              <w:pStyle w:val="Compact"/>
              <w:jc w:val="left"/>
            </w:pPr>
            <w:r>
              <w:t xml:space="preserve">835,250,000</w:t>
            </w:r>
          </w:p>
        </w:tc>
      </w:tr>
      <w:tr>
        <w:tc>
          <w:tcPr>
            <w:gridSpan w:val="5"/>
          </w:tcPr>
          <w:p>
            <w:pPr>
              <w:pStyle w:val="Compact"/>
              <w:jc w:val="left"/>
            </w:pPr>
            <w:r>
              <w:t xml:space="preserve">VAT 19% (IVA) (CLP)</w:t>
            </w:r>
          </w:p>
        </w:tc>
        <w:tc>
          <w:tcPr/>
          <w:p>
            <w:pPr>
              <w:pStyle w:val="Compact"/>
              <w:jc w:val="left"/>
            </w:pPr>
            <w:r>
              <w:t xml:space="preserve">158,697,500</w:t>
            </w:r>
          </w:p>
        </w:tc>
      </w:tr>
      <w:tr>
        <w:tc>
          <w:tcPr>
            <w:gridSpan w:val="5"/>
          </w:tcPr>
          <w:p>
            <w:pPr>
              <w:pStyle w:val="Compact"/>
              <w:jc w:val="left"/>
            </w:pPr>
            <w:r>
              <w:t xml:space="preserve">TOTAL ESTIMATED COST (CLP)</w:t>
            </w:r>
          </w:p>
        </w:tc>
        <w:tc>
          <w:tcPr/>
          <w:p>
            <w:pPr>
              <w:pStyle w:val="Compact"/>
              <w:jc w:val="left"/>
            </w:pPr>
            <w:r>
              <w:t xml:space="preserve">993,947,500</w:t>
            </w:r>
          </w:p>
        </w:tc>
      </w:tr>
    </w:tbl>
    <w:p>
      <w:pPr>
        <w:pStyle w:val="BodyText"/>
      </w:pPr>
      <w:r>
        <w:t xml:space="preserve">All prices are expressed in Chilean Pesos (CLP) and include applicable Value Added Tax (IVA) at the current rate of 19% as established by the Servicio de Impuestos Internos of Chile. This Quotation Estimate does not include third-party laboratory testing fees, environmental impact assessment costs, or any municipal fees levied by the Ilustre Municipalidad de Santiago or the respective commune.</w:t>
      </w:r>
    </w:p>
    <w:bookmarkEnd w:id="24"/>
    <w:bookmarkStart w:id="25" w:name="payment-schedule"/>
    <w:p>
      <w:pPr>
        <w:pStyle w:val="Heading3"/>
      </w:pPr>
      <w:r>
        <w:t xml:space="preserve">4. Payment Schedule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(CLP)</w:t>
            </w:r>
          </w:p>
        </w:tc>
        <w:tc>
          <w:tcPr/>
          <w:p>
            <w:pPr>
              <w:pStyle w:val="Compact"/>
              <w:jc w:val="left"/>
            </w:pPr>
            <w:r>
              <w:t xml:space="preserve">Trigger</w:t>
            </w:r>
          </w:p>
        </w:tc>
      </w:tr>
      <w:tr>
        <w:tc>
          <w:tcPr/>
          <w:p>
            <w:pPr>
              <w:pStyle w:val="Compact"/>
              <w:jc w:val="left"/>
            </w:pPr>
            <w:r>
              <w:t xml:space="preserve">Advance Payment</w:t>
            </w:r>
          </w:p>
        </w:tc>
        <w:tc>
          <w:tcPr/>
          <w:p>
            <w:pPr>
              <w:pStyle w:val="Compact"/>
              <w:jc w:val="left"/>
            </w:pPr>
            <w:r>
              <w:t xml:space="preserve">20%</w:t>
            </w:r>
          </w:p>
        </w:tc>
        <w:tc>
          <w:tcPr/>
          <w:p>
            <w:pPr>
              <w:pStyle w:val="Compact"/>
              <w:jc w:val="left"/>
            </w:pPr>
            <w:r>
              <w:t xml:space="preserve">198,789,500</w:t>
            </w:r>
          </w:p>
        </w:tc>
        <w:tc>
          <w:tcPr/>
          <w:p>
            <w:pPr>
              <w:pStyle w:val="Compact"/>
              <w:jc w:val="left"/>
            </w:pPr>
            <w:r>
              <w:t xml:space="preserve">Contract signing</w:t>
            </w:r>
          </w:p>
        </w:tc>
      </w:tr>
      <w:tr>
        <w:tc>
          <w:tcPr/>
          <w:p>
            <w:pPr>
              <w:pStyle w:val="Compact"/>
              <w:jc w:val="left"/>
            </w:pPr>
            <w:r>
              <w:t xml:space="preserve">Design Phase Completion</w:t>
            </w:r>
          </w:p>
        </w:tc>
        <w:tc>
          <w:tcPr/>
          <w:p>
            <w:pPr>
              <w:pStyle w:val="Compact"/>
              <w:jc w:val="left"/>
            </w:pPr>
            <w:r>
              <w:t xml:space="preserve">25%</w:t>
            </w:r>
          </w:p>
        </w:tc>
        <w:tc>
          <w:tcPr/>
          <w:p>
            <w:pPr>
              <w:pStyle w:val="Compact"/>
              <w:jc w:val="left"/>
            </w:pPr>
            <w:r>
              <w:t xml:space="preserve">248,486,875</w:t>
            </w:r>
          </w:p>
        </w:tc>
        <w:tc>
          <w:tcPr/>
          <w:p>
            <w:pPr>
              <w:pStyle w:val="Compact"/>
              <w:jc w:val="left"/>
            </w:pPr>
            <w:r>
              <w:t xml:space="preserve">Approval of preliminary designs</w:t>
            </w:r>
          </w:p>
        </w:tc>
      </w:tr>
      <w:tr>
        <w:tc>
          <w:tcPr/>
          <w:p>
            <w:pPr>
              <w:pStyle w:val="Compact"/>
              <w:jc w:val="left"/>
            </w:pPr>
            <w:r>
              <w:t xml:space="preserve">Construction Phase (Monthly)</w:t>
            </w:r>
          </w:p>
        </w:tc>
        <w:tc>
          <w:tcPr/>
          <w:p>
            <w:pPr>
              <w:pStyle w:val="Compact"/>
              <w:jc w:val="left"/>
            </w:pPr>
            <w:r>
              <w:t xml:space="preserve">40%</w:t>
            </w:r>
          </w:p>
        </w:tc>
        <w:tc>
          <w:tcPr/>
          <w:p>
            <w:pPr>
              <w:pStyle w:val="Compact"/>
              <w:jc w:val="left"/>
            </w:pPr>
            <w:r>
              <w:t xml:space="preserve">397,579,000</w:t>
            </w:r>
          </w:p>
        </w:tc>
        <w:tc>
          <w:tcPr/>
          <w:p>
            <w:pPr>
              <w:pStyle w:val="Compact"/>
              <w:jc w:val="left"/>
            </w:pPr>
            <w:r>
              <w:t xml:space="preserve">Monthly progress reports</w:t>
            </w:r>
          </w:p>
        </w:tc>
      </w:tr>
      <w:tr>
        <w:tc>
          <w:tcPr/>
          <w:p>
            <w:pPr>
              <w:pStyle w:val="Compact"/>
              <w:jc w:val="left"/>
            </w:pPr>
            <w:r>
              <w:t xml:space="preserve">Final Handover</w:t>
            </w:r>
          </w:p>
        </w:tc>
        <w:tc>
          <w:tcPr/>
          <w:p>
            <w:pPr>
              <w:pStyle w:val="Compact"/>
              <w:jc w:val="left"/>
            </w:pPr>
            <w:r>
              <w:t xml:space="preserve">15%</w:t>
            </w:r>
          </w:p>
        </w:tc>
        <w:tc>
          <w:tcPr/>
          <w:p>
            <w:pPr>
              <w:pStyle w:val="Compact"/>
              <w:jc w:val="left"/>
            </w:pPr>
            <w:r>
              <w:t xml:space="preserve">149,092,125</w:t>
            </w:r>
          </w:p>
        </w:tc>
        <w:tc>
          <w:tcPr/>
          <w:p>
            <w:pPr>
              <w:pStyle w:val="Compact"/>
              <w:jc w:val="left"/>
            </w:pPr>
            <w:r>
              <w:t xml:space="preserve">Delivery of as-built documents</w:t>
            </w:r>
          </w:p>
        </w:tc>
      </w:tr>
    </w:tbl>
    <w:bookmarkEnd w:id="25"/>
    <w:bookmarkStart w:id="26" w:name="terms-and-conditions"/>
    <w:p>
      <w:pPr>
        <w:pStyle w:val="Heading3"/>
      </w:pPr>
      <w:r>
        <w:t xml:space="preserve">5. Terms and Conditions</w:t>
      </w:r>
    </w:p>
    <w:p>
      <w:pPr>
        <w:numPr>
          <w:ilvl w:val="0"/>
          <w:numId w:val="1001"/>
        </w:numPr>
        <w:pStyle w:val="Compact"/>
      </w:pPr>
      <w:r>
        <w:t xml:space="preserve">This Quotation Estimate is valid for a period of thirty (30) calendar days from the date of issue. After this period, Baker reserves the right to revise pricing due to market fluctuations in materials, labor costs, or regulatory changes within Chile Santiago.</w:t>
      </w:r>
    </w:p>
    <w:p>
      <w:pPr>
        <w:numPr>
          <w:ilvl w:val="0"/>
          <w:numId w:val="1001"/>
        </w:numPr>
        <w:pStyle w:val="Compact"/>
      </w:pPr>
      <w:r>
        <w:t xml:space="preserve">All services described herein shall be performed by qualified professionals registered with the Colegio de Ingenieros de Chile and the Colegio de Arquitectos de Chile, in full compliance with national and local regulations applicable to the Metropolitan Region.</w:t>
      </w:r>
    </w:p>
    <w:p>
      <w:pPr>
        <w:numPr>
          <w:ilvl w:val="0"/>
          <w:numId w:val="1001"/>
        </w:numPr>
        <w:pStyle w:val="Compact"/>
      </w:pPr>
      <w:r>
        <w:t xml:space="preserve">Baker shall maintain professional liability insurance with a minimum coverage of CLP 500,000,000 for the duration of the project.</w:t>
      </w:r>
    </w:p>
    <w:p>
      <w:pPr>
        <w:numPr>
          <w:ilvl w:val="0"/>
          <w:numId w:val="1001"/>
        </w:numPr>
        <w:pStyle w:val="Compact"/>
      </w:pPr>
      <w:r>
        <w:t xml:space="preserve">Any changes to the scope of work must be documented through a formal Change Order signed by both parties. Baker will provide a revised Quotation Estimate for any additional or modified services within five (5) business days of the request.</w:t>
      </w:r>
    </w:p>
    <w:p>
      <w:pPr>
        <w:numPr>
          <w:ilvl w:val="0"/>
          <w:numId w:val="1001"/>
        </w:numPr>
        <w:pStyle w:val="Compact"/>
      </w:pPr>
      <w:r>
        <w:t xml:space="preserve">Payment terms are net thirty (30) days from the date of invoice issuance. Late payments shall accrue interest at the rate established by the Banco Central de Chile for overdue commercial credits.</w:t>
      </w:r>
    </w:p>
    <w:p>
      <w:pPr>
        <w:numPr>
          <w:ilvl w:val="0"/>
          <w:numId w:val="1001"/>
        </w:numPr>
        <w:pStyle w:val="Compact"/>
      </w:pPr>
      <w:r>
        <w:t xml:space="preserve">This Quotation Estimate is governed by the laws of the Republic of Chile. Any disputes arising from this agreement shall be resolved through arbitration in Santiago, Chile, in accordance with the rules of the Centro de Arbitraje y Mediación de la Cámara de Comercio de Santiago.</w:t>
      </w:r>
    </w:p>
    <w:p>
      <w:pPr>
        <w:numPr>
          <w:ilvl w:val="0"/>
          <w:numId w:val="1001"/>
        </w:numPr>
        <w:pStyle w:val="Compact"/>
      </w:pPr>
      <w:r>
        <w:t xml:space="preserve">Baker shall not be liable for delays caused by force majeure events, including but not limited to seismic activity, extreme weather conditions, government-mandated work stoppages, or public health emergencies affecting operations in Chile Santiago.</w:t>
      </w:r>
    </w:p>
    <w:p>
      <w:pPr>
        <w:numPr>
          <w:ilvl w:val="0"/>
          <w:numId w:val="1001"/>
        </w:numPr>
        <w:pStyle w:val="Compact"/>
      </w:pPr>
      <w:r>
        <w:t xml:space="preserve">Confidentiality: All project documentation, client data, and proprietary information exchanged between Baker and the client shall be treated as strictly confidential and shall not be disclosed to third parties without prior written consent.</w:t>
      </w:r>
    </w:p>
    <w:bookmarkEnd w:id="26"/>
    <w:bookmarkStart w:id="27" w:name="acceptance-and-authorization"/>
    <w:p>
      <w:pPr>
        <w:pStyle w:val="Heading3"/>
      </w:pPr>
      <w:r>
        <w:t xml:space="preserve">6. Acceptance and Authorization</w:t>
      </w:r>
    </w:p>
    <w:p>
      <w:pPr>
        <w:pStyle w:val="FirstParagraph"/>
      </w:pPr>
      <w:r>
        <w:t xml:space="preserve">By signing below, the client acknowledges receipt of this Quotation Estimate from Baker and agrees to the terms, conditions, and pricing outlined in this document. This signature constitutes a binding commitment to proceed with the services described herein, subject to the execution of a formal service agreement between both parties.</w:t>
      </w:r>
    </w:p>
    <w:p>
      <w:pPr>
        <w:pStyle w:val="BodyText"/>
      </w:pPr>
      <w:r>
        <w:rPr>
          <w:bCs/>
          <w:b/>
        </w:rPr>
        <w:t xml:space="preserve">For Baker Professional Services &amp; Solutions SpA</w:t>
      </w:r>
    </w:p>
    <w:p>
      <w:pPr>
        <w:pStyle w:val="BodyText"/>
      </w:pPr>
      <w:r>
        <w:t xml:space="preserve">Name: ___________________________</w:t>
      </w:r>
    </w:p>
    <w:p>
      <w:pPr>
        <w:pStyle w:val="BodyText"/>
      </w:pPr>
      <w:r>
        <w:t xml:space="preserve">Position: General Manager</w:t>
      </w:r>
    </w:p>
    <w:p>
      <w:pPr>
        <w:pStyle w:val="BodyText"/>
      </w:pPr>
      <w:r>
        <w:t xml:space="preserve">Date: ___________________________</w:t>
      </w:r>
    </w:p>
    <w:p>
      <w:pPr>
        <w:pStyle w:val="BodyText"/>
      </w:pPr>
      <w:r>
        <w:t xml:space="preserve">Signature: ___________________________</w:t>
      </w:r>
    </w:p>
    <w:p>
      <w:pPr>
        <w:pStyle w:val="BodyText"/>
      </w:pPr>
      <w:r>
        <w:rPr>
          <w:bCs/>
          <w:b/>
        </w:rPr>
        <w:t xml:space="preserve">For Constructora Andina del Pacífico SpA</w:t>
      </w:r>
    </w:p>
    <w:p>
      <w:pPr>
        <w:pStyle w:val="BodyText"/>
      </w:pPr>
      <w:r>
        <w:t xml:space="preserve">Name: ___________________________</w:t>
      </w:r>
    </w:p>
    <w:p>
      <w:pPr>
        <w:pStyle w:val="BodyText"/>
      </w:pPr>
      <w:r>
        <w:t xml:space="preserve">Position: ___________________________</w:t>
      </w:r>
    </w:p>
    <w:p>
      <w:pPr>
        <w:pStyle w:val="BodyText"/>
      </w:pPr>
      <w:r>
        <w:t xml:space="preserve">Date: ___________________________</w:t>
      </w:r>
    </w:p>
    <w:p>
      <w:pPr>
        <w:pStyle w:val="BodyText"/>
      </w:pPr>
      <w:r>
        <w:t xml:space="preserve">Signature: ___________________________</w:t>
      </w:r>
    </w:p>
    <w:p>
      <w:pPr>
        <w:pStyle w:val="BodyText"/>
      </w:pPr>
      <w:r>
        <w:t xml:space="preserve">This Quotation Estimate was prepared by Baker Professional Services &amp; Solutions SpA, registered in Santiago, Chile. Document Reference: BAKER-QE-2025-0487. For inquiries regarding this estimate, please contact our quotations department at quotations@baker-chile.cl or +56 2 2345 6789. Baker is committed to delivering excellence in professional services throughout Chile Santiago and the broader Metropolitan Region.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Baker - Chile Santiago</dc:title>
  <dc:creator/>
  <dc:language>en</dc:language>
  <cp:keywords/>
  <dcterms:created xsi:type="dcterms:W3CDTF">2026-10-10T03:12:13Z</dcterms:created>
  <dcterms:modified xsi:type="dcterms:W3CDTF">2026-10-10T03:12:13Z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