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Baker Industries &amp; Solutions S.A.S. — Colombia Bogotá</w:t>
      </w:r>
    </w:p>
    <w:bookmarkEnd w:id="20"/>
    <w:p>
      <w:pPr>
        <w:pStyle w:val="BodyText"/>
      </w:pPr>
      <w:r>
        <w:rPr>
          <w:bCs/>
          <w:b/>
        </w:rPr>
        <w:t xml:space="preserve">Issued By:</w:t>
      </w:r>
      <w:r>
        <w:br/>
      </w:r>
      <w:r>
        <w:t xml:space="preserve">Baker Industries &amp; Solutions S.A.S.</w:t>
      </w:r>
      <w:r>
        <w:br/>
      </w:r>
      <w:r>
        <w:t xml:space="preserve">NIT: 901.234.567-8</w:t>
      </w:r>
      <w:r>
        <w:br/>
      </w:r>
      <w:r>
        <w:t xml:space="preserve">Calle 100 # 15-30, Of. 402</w:t>
      </w:r>
      <w:r>
        <w:br/>
      </w:r>
      <w:r>
        <w:t xml:space="preserve">Bogotá D.C., Colombia</w:t>
      </w:r>
      <w:r>
        <w:br/>
      </w:r>
      <w:r>
        <w:t xml:space="preserve">Phone: +57 (601) 743 2890</w:t>
      </w:r>
      <w:r>
        <w:br/>
      </w:r>
      <w:r>
        <w:t xml:space="preserve">Email: quotations@bakerbogota.co</w:t>
      </w:r>
    </w:p>
    <w:p>
      <w:pPr>
        <w:pStyle w:val="BodyText"/>
      </w:pPr>
      <w:r>
        <w:rPr>
          <w:bCs/>
          <w:b/>
        </w:rPr>
        <w:t xml:space="preserve">Prepared For:</w:t>
      </w:r>
      <w:r>
        <w:br/>
      </w:r>
      <w:r>
        <w:t xml:space="preserve">Grupo Andino Comercial S.A.S.</w:t>
      </w:r>
      <w:r>
        <w:br/>
      </w:r>
      <w:r>
        <w:t xml:space="preserve">NIT: 830.456.789-1</w:t>
      </w:r>
      <w:r>
        <w:br/>
      </w:r>
      <w:r>
        <w:t xml:space="preserve">Av. El Dorado # 45-20</w:t>
      </w:r>
      <w:r>
        <w:br/>
      </w:r>
      <w:r>
        <w:t xml:space="preserve">Bogotá D.C., Colombia</w:t>
      </w:r>
      <w:r>
        <w:br/>
      </w:r>
      <w:r>
        <w:t xml:space="preserve">Contact: Ing. María Fernanda López</w:t>
      </w:r>
      <w:r>
        <w:br/>
      </w:r>
      <w:r>
        <w:t xml:space="preserve">Email: m.lopez@grupoandino.co</w:t>
      </w:r>
    </w:p>
    <w:p>
      <w:pPr>
        <w:pStyle w:val="BodyText"/>
      </w:pPr>
      <w:r>
        <w:t xml:space="preserve">Quotation No.</w:t>
      </w:r>
      <w:r>
        <w:t xml:space="preserve"> </w:t>
      </w:r>
      <w:r>
        <w:t xml:space="preserve">BKR-BGA-2025-0047</w:t>
      </w:r>
    </w:p>
    <w:p>
      <w:pPr>
        <w:pStyle w:val="BodyText"/>
      </w:pPr>
      <w:r>
        <w:t xml:space="preserve">Date of Issue</w:t>
      </w:r>
      <w:r>
        <w:t xml:space="preserve"> </w:t>
      </w:r>
      <w:r>
        <w:t xml:space="preserve">June 12, 2025</w:t>
      </w:r>
    </w:p>
    <w:p>
      <w:pPr>
        <w:pStyle w:val="BodyText"/>
      </w:pPr>
      <w:r>
        <w:t xml:space="preserve">Valid Until</w:t>
      </w:r>
      <w:r>
        <w:t xml:space="preserve"> </w:t>
      </w:r>
      <w:r>
        <w:t xml:space="preserve">July 12, 2025</w:t>
      </w:r>
    </w:p>
    <w:p>
      <w:pPr>
        <w:pStyle w:val="BodyText"/>
      </w:pPr>
      <w:r>
        <w:t xml:space="preserve">Currency</w:t>
      </w:r>
      <w:r>
        <w:t xml:space="preserve"> </w:t>
      </w:r>
      <w:r>
        <w:t xml:space="preserve">COP (Colombian Peso)</w:t>
      </w:r>
    </w:p>
    <w:p>
      <w:pPr>
        <w:pStyle w:val="BodyText"/>
      </w:pPr>
      <w:r>
        <w:t xml:space="preserve">Dear Valued Client,</w:t>
      </w:r>
    </w:p>
    <w:p>
      <w:pPr>
        <w:pStyle w:val="BodyText"/>
      </w:pPr>
      <w:r>
        <w:t xml:space="preserve">Thank you for considering</w:t>
      </w:r>
      <w:r>
        <w:t xml:space="preserve"> </w:t>
      </w:r>
      <w:r>
        <w:rPr>
          <w:bCs/>
          <w:b/>
        </w:rPr>
        <w:t xml:space="preserve">Baker Industries &amp; Solutions S.A.S.</w:t>
      </w:r>
      <w:r>
        <w:t xml:space="preserve"> </w:t>
      </w:r>
      <w:r>
        <w:t xml:space="preserve">for your upcoming project requirements in</w:t>
      </w:r>
      <w:r>
        <w:t xml:space="preserve"> </w:t>
      </w:r>
      <w:r>
        <w:rPr>
          <w:bCs/>
          <w:b/>
        </w:rPr>
        <w:t xml:space="preserve">Colombia Bogotá</w:t>
      </w:r>
      <w:r>
        <w:t xml:space="preserve">. This</w:t>
      </w:r>
      <w:r>
        <w:t xml:space="preserve"> </w:t>
      </w:r>
      <w:r>
        <w:rPr>
          <w:bCs/>
          <w:b/>
        </w:rPr>
        <w:t xml:space="preserve">Quotation Estimate</w:t>
      </w:r>
      <w:r>
        <w:t xml:space="preserve"> </w:t>
      </w:r>
      <w:r>
        <w:t xml:space="preserve">has been carefully prepared to reflect the full scope of services, materials, and professional expertise that Baker will deliver at your designated site in the Bogotá metropolitan area. All pricing herein is based on current market conditions in Colombia and includes applicable local taxes as mandated by the Colombian National Tax Authority (DIAN).</w:t>
      </w:r>
    </w:p>
    <w:p>
      <w:pPr>
        <w:pStyle w:val="BodyText"/>
      </w:pPr>
      <w:r>
        <w:t xml:space="preserve">Itemized Quotation Estimate —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Site survey and structural assessment at client premises, Bogotá D.C. (Baker engineering team of 4 specialists)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and engineering plans — Baker proprietary methodology (includes 3D modeling and structural calculations compliant with Colombian NSR-10 norms)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Supply and installation of Baker-certified modular steel framework (Grade 50, galvanized, 120 tons total)</w:t>
            </w:r>
          </w:p>
        </w:tc>
        <w:tc>
          <w:tcPr/>
          <w:p>
            <w:pPr>
              <w:pStyle w:val="Compact"/>
              <w:jc w:val="left"/>
            </w:pPr>
            <w:r>
              <w:t xml:space="preserve">120</w:t>
            </w:r>
          </w:p>
        </w:tc>
        <w:tc>
          <w:tcPr/>
          <w:p>
            <w:pPr>
              <w:pStyle w:val="Compact"/>
              <w:jc w:val="left"/>
            </w:pPr>
            <w:r>
              <w:t xml:space="preserve">Tons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Professional labor — Baker certified technicians and engineers for on-site assembly (estimated 45 working days, 12-person crew)</w:t>
            </w:r>
          </w:p>
        </w:tc>
        <w:tc>
          <w:tcPr/>
          <w:p>
            <w:pPr>
              <w:pStyle w:val="Compact"/>
              <w:jc w:val="left"/>
            </w:pPr>
            <w:r>
              <w:t xml:space="preserve">45</w:t>
            </w:r>
          </w:p>
        </w:tc>
        <w:tc>
          <w:tcPr/>
          <w:p>
            <w:pPr>
              <w:pStyle w:val="Compact"/>
              <w:jc w:val="left"/>
            </w:pPr>
            <w:r>
              <w:t xml:space="preserve">Days</w:t>
            </w:r>
          </w:p>
        </w:tc>
        <w:tc>
          <w:tcPr/>
          <w:p>
            <w:pPr>
              <w:pStyle w:val="Compact"/>
              <w:jc w:val="left"/>
            </w:pPr>
            <w:r>
              <w:t xml:space="preserve">6,200,000</w:t>
            </w:r>
          </w:p>
        </w:tc>
        <w:tc>
          <w:tcPr/>
          <w:p>
            <w:pPr>
              <w:pStyle w:val="Compact"/>
              <w:jc w:val="left"/>
            </w:pPr>
            <w:r>
              <w:t xml:space="preserve">279,000,000</w:t>
            </w:r>
          </w:p>
        </w:tc>
      </w:tr>
      <w:tr>
        <w:tc>
          <w:tcPr/>
          <w:p>
            <w:pPr>
              <w:pStyle w:val="Compact"/>
              <w:jc w:val="left"/>
            </w:pPr>
            <w:r>
              <w:t xml:space="preserve">5</w:t>
            </w:r>
          </w:p>
        </w:tc>
        <w:tc>
          <w:tcPr/>
          <w:p>
            <w:pPr>
              <w:pStyle w:val="Compact"/>
              <w:jc w:val="left"/>
            </w:pPr>
            <w:r>
              <w:t xml:space="preserve">Electrical and HVAC integration — Baker Systems Division (includes wiring, panels, and climate control units for 2,400 m²)</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6</w:t>
            </w:r>
          </w:p>
        </w:tc>
        <w:tc>
          <w:tcPr/>
          <w:p>
            <w:pPr>
              <w:pStyle w:val="Compact"/>
              <w:jc w:val="left"/>
            </w:pPr>
            <w:r>
              <w:t xml:space="preserve">Quality assurance and final inspection — Baker QA protocol (3 inspection cycles, compliance with Bogotá municipal building code)</w:t>
            </w:r>
          </w:p>
        </w:tc>
        <w:tc>
          <w:tcPr/>
          <w:p>
            <w:pPr>
              <w:pStyle w:val="Compact"/>
              <w:jc w:val="left"/>
            </w:pPr>
            <w:r>
              <w:t xml:space="preserve">3</w:t>
            </w:r>
          </w:p>
        </w:tc>
        <w:tc>
          <w:tcPr/>
          <w:p>
            <w:pPr>
              <w:pStyle w:val="Compact"/>
              <w:jc w:val="left"/>
            </w:pPr>
            <w:r>
              <w:t xml:space="preserve">Cycles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Project management and coordination — Baker dedicated project manager (full duration, on-site presence in Bogotá)</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Warranty and post-delivery support — Baker 24-month comprehensive warranty (parts and labor, Colombia-wide coverage)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5,200,000</w:t>
            </w:r>
          </w:p>
        </w:tc>
        <w:tc>
          <w:tcPr/>
          <w:p>
            <w:pPr>
              <w:pStyle w:val="Compact"/>
              <w:jc w:val="left"/>
            </w:pPr>
            <w:r>
              <w:t xml:space="preserve">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465,400,000</w:t>
            </w:r>
          </w:p>
        </w:tc>
      </w:tr>
      <w:tr>
        <w:tc>
          <w:tcPr/>
          <w:p>
            <w:pPr>
              <w:pStyle w:val="Compact"/>
              <w:jc w:val="left"/>
            </w:pPr>
            <w:r>
              <w:t xml:space="preserve">IVA 19% (Colombian VAT)</w:t>
            </w:r>
          </w:p>
        </w:tc>
        <w:tc>
          <w:tcPr/>
          <w:p>
            <w:pPr>
              <w:pStyle w:val="Compact"/>
              <w:jc w:val="right"/>
            </w:pPr>
            <w:r>
              <w:t xml:space="preserve">88,426,000</w:t>
            </w:r>
          </w:p>
        </w:tc>
      </w:tr>
      <w:tr>
        <w:tc>
          <w:tcPr/>
          <w:p>
            <w:pPr>
              <w:pStyle w:val="Compact"/>
              <w:jc w:val="left"/>
            </w:pPr>
            <w:r>
              <w:t xml:space="preserve">Transportation &amp; Logistics within Bogotá D.C.</w:t>
            </w:r>
          </w:p>
        </w:tc>
        <w:tc>
          <w:tcPr/>
          <w:p>
            <w:pPr>
              <w:pStyle w:val="Compact"/>
              <w:jc w:val="right"/>
            </w:pPr>
            <w:r>
              <w:t xml:space="preserve">7,800,000</w:t>
            </w:r>
          </w:p>
        </w:tc>
      </w:tr>
      <w:tr>
        <w:tc>
          <w:tcPr/>
          <w:p>
            <w:pPr>
              <w:pStyle w:val="Compact"/>
              <w:jc w:val="left"/>
            </w:pPr>
            <w:r>
              <w:t xml:space="preserve">GRAND TOTAL (COP)</w:t>
            </w:r>
          </w:p>
        </w:tc>
        <w:tc>
          <w:tcPr/>
          <w:p>
            <w:pPr>
              <w:pStyle w:val="Compact"/>
              <w:jc w:val="right"/>
            </w:pPr>
            <w:r>
              <w:t xml:space="preserve">561,626,000</w:t>
            </w:r>
          </w:p>
        </w:tc>
      </w:tr>
    </w:tbl>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issued by Baker Industries &amp; Solutions S.A.S. is valid for a period of thirty (30) calendar days from the date of issue. After this period, pricing may be subject to revision due to fluctuations in material costs within the Colombian market.</w:t>
      </w:r>
    </w:p>
    <w:p>
      <w:pPr>
        <w:numPr>
          <w:ilvl w:val="0"/>
          <w:numId w:val="1001"/>
        </w:numPr>
        <w:pStyle w:val="Compact"/>
      </w:pPr>
      <w:r>
        <w:t xml:space="preserve">All prices are expressed in Colombian Pesos (COP) and include the applicable 19% IVA (Impuesto al Valor Agregado) as regulated by the Colombian tax code. Baker will issue a formal electronic invoice (Factura Electrónica) compliant with DIAN regulations upon project commencement.</w:t>
      </w:r>
    </w:p>
    <w:p>
      <w:pPr>
        <w:numPr>
          <w:ilvl w:val="0"/>
          <w:numId w:val="1001"/>
        </w:numPr>
        <w:pStyle w:val="Compact"/>
      </w:pPr>
      <w:r>
        <w:t xml:space="preserve">Payment terms: 40% advance payment upon contract signing, 35% upon completion of structural assembly, and 25% upon final acceptance and delivery of the completed project in Bogotá. Payments shall be made via bank transfer to Baker's designated account at Bancolombia, Bogotá branch.</w:t>
      </w:r>
    </w:p>
    <w:p>
      <w:pPr>
        <w:numPr>
          <w:ilvl w:val="0"/>
          <w:numId w:val="1001"/>
        </w:numPr>
        <w:pStyle w:val="Compact"/>
      </w:pPr>
      <w:r>
        <w:t xml:space="preserve">The project timeline is estimated at 45 working days from the date of contract execution, subject to weather conditions and municipal permitting processes in Bogotá D.C. Baker will coordinate all necessary permits with the Secretaría de Planeación Distrital.</w:t>
      </w:r>
    </w:p>
    <w:p>
      <w:pPr>
        <w:numPr>
          <w:ilvl w:val="0"/>
          <w:numId w:val="1001"/>
        </w:numPr>
        <w:pStyle w:val="Compact"/>
      </w:pPr>
      <w:r>
        <w:t xml:space="preserve">Baker Industries &amp; Solutions S.A.S. guarantees full compliance with all applicable Colombian labor laws, environmental regulations, and Bogotá municipal building codes throughout the execution of this project.</w:t>
      </w:r>
    </w:p>
    <w:p>
      <w:pPr>
        <w:numPr>
          <w:ilvl w:val="0"/>
          <w:numId w:val="1001"/>
        </w:numPr>
        <w:pStyle w:val="Compact"/>
      </w:pPr>
      <w:r>
        <w:t xml:space="preserve">Any changes to the scope of work requested by the client after the issuance of this Quotation Estimate will be subject to a supplementary quotation issued by Baker's commercial department.</w:t>
      </w:r>
    </w:p>
    <w:p>
      <w:pPr>
        <w:numPr>
          <w:ilvl w:val="0"/>
          <w:numId w:val="1001"/>
        </w:numPr>
        <w:pStyle w:val="Compact"/>
      </w:pPr>
      <w:r>
        <w:t xml:space="preserve">Baker assumes no liability for delays caused by force majeure events, including but not limited to natural disasters, government-mandated shutdowns, or civil unrest affecting the Bogotá metropolitan area.</w:t>
      </w:r>
    </w:p>
    <w:p>
      <w:pPr>
        <w:numPr>
          <w:ilvl w:val="0"/>
          <w:numId w:val="1001"/>
        </w:numPr>
        <w:pStyle w:val="Compact"/>
      </w:pPr>
      <w:r>
        <w:t xml:space="preserve">This Quotation Estimate does not constitute a binding contract until both parties have signed the formal service agreement. Baker reserves the right to modify terms with 15 days' written notice prior to project commencement.</w:t>
      </w:r>
    </w:p>
    <w:p>
      <w:pPr>
        <w:numPr>
          <w:ilvl w:val="0"/>
          <w:numId w:val="1001"/>
        </w:numPr>
        <w:pStyle w:val="Compact"/>
      </w:pPr>
      <w:r>
        <w:t xml:space="preserve">All intellectual property related to Baker's proprietary design methodologies, engineering software, and construction techniques remains the exclusive property of Baker Industries &amp; Solutions S.A.S.</w:t>
      </w:r>
    </w:p>
    <w:p>
      <w:pPr>
        <w:pStyle w:val="FirstParagraph"/>
      </w:pPr>
      <w:r>
        <w:t xml:space="preserve">Acceptance and Authorization</w:t>
      </w:r>
    </w:p>
    <w:p>
      <w:pPr>
        <w:pStyle w:val="BodyText"/>
      </w:pPr>
      <w:r>
        <w:t xml:space="preserve">By signing below, both parties acknowledge that they have read, understood, and agree to the terms set forth in this Quotation Estimate. This document serves as the formal basis for the subsequent service agreement between Baker Industries &amp; Solutions S.A.S. and the client for the execution of the described project in Colombia Bogotá.</w:t>
      </w:r>
    </w:p>
    <w:p>
      <w:pPr>
        <w:pStyle w:val="BodyText"/>
      </w:pPr>
      <w:r>
        <w:rPr>
          <w:bCs/>
          <w:b/>
        </w:rPr>
        <w:t xml:space="preserve">For Baker Industries &amp; Solutions S.A.S.</w:t>
      </w:r>
      <w:r>
        <w:br/>
      </w:r>
      <w:r>
        <w:t xml:space="preserve">Carlos Andrés Baker Ríos</w:t>
      </w:r>
      <w:r>
        <w:br/>
      </w:r>
      <w:r>
        <w:t xml:space="preserve">General Director</w:t>
      </w:r>
      <w:r>
        <w:br/>
      </w:r>
      <w:r>
        <w:t xml:space="preserve">NIT: 901.234.567-8</w:t>
      </w:r>
      <w:r>
        <w:br/>
      </w:r>
      <w:r>
        <w:t xml:space="preserve">Date: _______________</w:t>
      </w:r>
    </w:p>
    <w:p>
      <w:pPr>
        <w:pStyle w:val="BodyText"/>
      </w:pPr>
      <w:r>
        <w:rPr>
          <w:bCs/>
          <w:b/>
        </w:rPr>
        <w:t xml:space="preserve">For Grupo Andino Comercial S.A.S.</w:t>
      </w:r>
      <w:r>
        <w:br/>
      </w:r>
      <w:r>
        <w:t xml:space="preserve">María Fernanda López</w:t>
      </w:r>
      <w:r>
        <w:br/>
      </w:r>
      <w:r>
        <w:t xml:space="preserve">Procurement Manager</w:t>
      </w:r>
      <w:r>
        <w:br/>
      </w:r>
      <w:r>
        <w:t xml:space="preserve">NIT: 830.456.789-1</w:t>
      </w:r>
      <w:r>
        <w:br/>
      </w:r>
      <w:r>
        <w:t xml:space="preserve">Date: _______________</w:t>
      </w:r>
    </w:p>
    <w:p>
      <w:pPr>
        <w:pStyle w:val="BodyText"/>
      </w:pPr>
      <w:r>
        <w:rPr>
          <w:bCs/>
          <w:b/>
        </w:rPr>
        <w:t xml:space="preserve">Baker Industries &amp; Solutions S.A.S.</w:t>
      </w:r>
      <w:r>
        <w:t xml:space="preserve"> </w:t>
      </w:r>
      <w:r>
        <w:t xml:space="preserve">— Quotation Estimate BKR-BGA-2025-0047</w:t>
      </w:r>
      <w:r>
        <w:br/>
      </w:r>
      <w:r>
        <w:t xml:space="preserve">Calle 100 # 15-30, Of. 402, Bogotá D.C., Colombia | +57 (601) 743 2890 | quotations@bakerbogota.co</w:t>
      </w:r>
      <w:r>
        <w:br/>
      </w:r>
      <w:r>
        <w:t xml:space="preserve">This document is generated electronically by Baker's commercial system. No physical signature is required for validity under Colombian electronic commerce law (Ley 527 de 1999).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Colombia Bogotá</dc:title>
  <dc:creator/>
  <dc:language>en</dc:language>
  <cp:keywords/>
  <dcterms:created xsi:type="dcterms:W3CDTF">2026-10-10T04:06:38Z</dcterms:created>
  <dcterms:modified xsi:type="dcterms:W3CDTF">2026-10-10T04:06:38Z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