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quotation-estimate"/>
    <w:p>
      <w:pPr>
        <w:pStyle w:val="Heading1"/>
      </w:pPr>
      <w:r>
        <w:t xml:space="preserve">Quotation Estimate</w:t>
      </w:r>
    </w:p>
    <w:p>
      <w:pPr>
        <w:pStyle w:val="FirstParagraph"/>
      </w:pPr>
      <w:r>
        <w:rPr>
          <w:bCs/>
          <w:b/>
        </w:rPr>
        <w:t xml:space="preserve">Tehran Baker Industries Co., Ltd.</w:t>
      </w:r>
    </w:p>
    <w:p>
      <w:pPr>
        <w:pStyle w:val="BodyText"/>
      </w:pPr>
      <w:r>
        <w:t xml:space="preserve">Address: No. 42, Valiasr Street, Enghelab Square, Tehran, Iran</w:t>
      </w:r>
    </w:p>
    <w:p>
      <w:pPr>
        <w:pStyle w:val="BodyText"/>
      </w:pPr>
      <w:r>
        <w:t xml:space="preserve">Phone: +98-21-8876-5432 | Email: estimates@tehranbaker.ir</w:t>
      </w:r>
    </w:p>
    <w:p>
      <w:pPr>
        <w:pStyle w:val="BodyText"/>
      </w:pPr>
      <w:r>
        <w:t xml:space="preserve">Registration No: IR-1402-88765 | Tax ID: 1020456789</w:t>
      </w:r>
    </w:p>
    <w:bookmarkEnd w:id="20"/>
    <w:p>
      <w:pPr>
        <w:pStyle w:val="BodyText"/>
      </w:pPr>
      <w:r>
        <w:rPr>
          <w:bCs/>
          <w:b/>
        </w:rPr>
        <w:t xml:space="preserve">Quotation No:</w:t>
      </w:r>
      <w:r>
        <w:t xml:space="preserve"> </w:t>
      </w:r>
      <w:r>
        <w:t xml:space="preserve">TBQ-2025-0347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Mr. Ali Reza Mohammadi</w:t>
      </w:r>
      <w:r>
        <w:br/>
      </w:r>
      <w:r>
        <w:t xml:space="preserve">Persian Bread House, Tehran</w:t>
      </w:r>
      <w:r>
        <w:br/>
      </w:r>
      <w:r>
        <w:t xml:space="preserve">Address: 18, Ferdowsi Avenue, North Khorasgan, Tehran, Iran</w:t>
      </w:r>
      <w:r>
        <w:br/>
      </w:r>
      <w:r>
        <w:t xml:space="preserve">Phone: +98-21-2233-4455</w:t>
      </w:r>
    </w:p>
    <w:p>
      <w:pPr>
        <w:pStyle w:val="BodyText"/>
      </w:pPr>
      <w:r>
        <w:t xml:space="preserve">OFFICIAL ESTIMATE</w:t>
      </w:r>
      <w:r>
        <w:br/>
      </w:r>
      <w:r>
        <w:br/>
      </w:r>
      <w:r>
        <w:rPr>
          <w:bCs/>
          <w:b/>
        </w:rPr>
        <w:t xml:space="preserve">Project:</w:t>
      </w:r>
      <w:r>
        <w:t xml:space="preserve"> </w:t>
      </w:r>
      <w:r>
        <w:t xml:space="preserve">Commercial Baker</w:t>
      </w:r>
      <w:r>
        <w:br/>
      </w:r>
      <w:r>
        <w:rPr>
          <w:bCs/>
          <w:b/>
        </w:rPr>
        <w:t xml:space="preserve">Location:</w:t>
      </w:r>
      <w:r>
        <w:t xml:space="preserve"> </w:t>
      </w:r>
      <w:r>
        <w:t xml:space="preserve">Tehran, Iran</w:t>
      </w:r>
    </w:p>
    <w:bookmarkStart w:id="21" w:name="X5f5cb4ca40b3e4c3835c3c1ab6e95481cc4b6ae"/>
    <w:p>
      <w:pPr>
        <w:pStyle w:val="Heading2"/>
      </w:pPr>
      <w:r>
        <w:t xml:space="preserve">1. Scope of Work – Baker Installation in Tehran, Iran</w:t>
      </w:r>
    </w:p>
    <w:p>
      <w:pPr>
        <w:pStyle w:val="FirstParagraph"/>
      </w:pPr>
      <w:r>
        <w:t xml:space="preserve">This Quotation Estimate is issued by Tehran Baker Industries Co., Ltd. to provide a comprehensive cost breakdown for the supply, installation, and commissioning of a commercial Baker unit at the client's premises in Tehran, Iran. The Baker system described herein is a fully automated, industrial-grade bread and pastry production line designed to meet the daily output requirements of a mid-sized bakery operation in the Tehran metropolitan area. All specifications comply with the national food safety standards established by the Iranian Food and Drug Administration (IFDA) and the local municipal regulations of Tehran Municipality, District 1.</w:t>
      </w:r>
    </w:p>
    <w:bookmarkEnd w:id="21"/>
    <w:bookmarkStart w:id="22" w:name="itemized-quotation-estimate"/>
    <w:p>
      <w:pPr>
        <w:pStyle w:val="Heading2"/>
      </w:pPr>
      <w:r>
        <w:t xml:space="preserve">2. Itemized Quotation Estimate</w:t>
      </w:r>
    </w:p>
    <w:p>
      <w:pPr>
        <w:pStyle w:val="FirstParagraph"/>
      </w:pPr>
      <w:r>
        <w:t xml:space="preserve">Item No.</w:t>
      </w:r>
    </w:p>
    <w:bookmarkEnd w:id="22"/>
    <w:p>
      <w:pPr>
        <w:pStyle w:val="BodyText"/>
      </w:pPr>
      <w:r>
        <w:t xml:space="preserve">Description</w:t>
      </w:r>
    </w:p>
    <w:p>
      <w:pPr>
        <w:pStyle w:val="BodyText"/>
      </w:pPr>
      <w:r>
        <w:t xml:space="preserve">Qty</w:t>
      </w:r>
    </w:p>
    <w:p>
      <w:pPr>
        <w:pStyle w:val="BodyText"/>
      </w:pPr>
      <w:r>
        <w:t xml:space="preserve">Unit</w:t>
      </w:r>
    </w:p>
    <w:p>
      <w:pPr>
        <w:pStyle w:val="BodyText"/>
      </w:pPr>
      <w:r>
        <w:t xml:space="preserve">Unit Price (IRR)</w:t>
      </w:r>
    </w:p>
    <w:p>
      <w:pPr>
        <w:pStyle w:val="BodyText"/>
      </w:pPr>
      <w:r>
        <w:t xml:space="preserve">Total (IRR)</w:t>
      </w:r>
    </w:p>
    <w:p>
      <w:pPr>
        <w:pStyle w:val="BodyText"/>
      </w:pPr>
      <w:r>
        <w:t xml:space="preserve">01</w:t>
      </w:r>
    </w:p>
    <w:p>
      <w:pPr>
        <w:pStyle w:val="BodyText"/>
      </w:pPr>
      <w:r>
        <w:t xml:space="preserve">Industrial Baker Oven – 4-deck, gas-fired, stainless steel (Model TB-4000)</w:t>
      </w:r>
    </w:p>
    <w:p>
      <w:pPr>
        <w:pStyle w:val="BodyText"/>
      </w:pPr>
      <w:r>
        <w:t xml:space="preserve">2</w:t>
      </w:r>
    </w:p>
    <w:p>
      <w:pPr>
        <w:pStyle w:val="BodyText"/>
      </w:pPr>
      <w:r>
        <w:t xml:space="preserve">Unit</w:t>
      </w:r>
    </w:p>
    <w:p>
      <w:pPr>
        <w:pStyle w:val="BodyText"/>
      </w:pPr>
      <w:r>
        <w:t xml:space="preserve">285,000,000</w:t>
      </w:r>
    </w:p>
    <w:p>
      <w:pPr>
        <w:pStyle w:val="BodyText"/>
      </w:pPr>
      <w:r>
        <w:t xml:space="preserve">570,000,000</w:t>
      </w:r>
    </w:p>
    <w:p>
      <w:pPr>
        <w:pStyle w:val="BodyText"/>
      </w:pPr>
      <w:r>
        <w:t xml:space="preserve">02</w:t>
      </w:r>
    </w:p>
    <w:p>
      <w:pPr>
        <w:pStyle w:val="BodyText"/>
      </w:pPr>
      <w:r>
        <w:t xml:space="preserve">Automated Dough Mixer and Kneading Machine – 50 kg capacity</w:t>
      </w:r>
    </w:p>
    <w:p>
      <w:pPr>
        <w:pStyle w:val="BodyText"/>
      </w:pPr>
      <w:r>
        <w:t xml:space="preserve">1</w:t>
      </w:r>
    </w:p>
    <w:p>
      <w:pPr>
        <w:pStyle w:val="BodyText"/>
      </w:pPr>
      <w:r>
        <w:t xml:space="preserve">Unit</w:t>
      </w:r>
    </w:p>
    <w:p>
      <w:pPr>
        <w:pStyle w:val="BodyText"/>
      </w:pPr>
      <w:r>
        <w:t xml:space="preserve">145,000,000</w:t>
      </w:r>
    </w:p>
    <w:p>
      <w:pPr>
        <w:pStyle w:val="BodyText"/>
      </w:pPr>
      <w:r>
        <w:t xml:space="preserve">145,000,000</w:t>
      </w:r>
    </w:p>
    <w:p>
      <w:pPr>
        <w:pStyle w:val="BodyText"/>
      </w:pPr>
      <w:r>
        <w:t xml:space="preserve">03</w:t>
      </w:r>
    </w:p>
    <w:p>
      <w:pPr>
        <w:pStyle w:val="BodyText"/>
      </w:pPr>
      <w:r>
        <w:t xml:space="preserve">Proofing Chamber – Temperature and humidity controlled, 12-tray</w:t>
      </w:r>
    </w:p>
    <w:p>
      <w:pPr>
        <w:pStyle w:val="BodyText"/>
      </w:pPr>
      <w:r>
        <w:t xml:space="preserve">1</w:t>
      </w:r>
    </w:p>
    <w:p>
      <w:pPr>
        <w:pStyle w:val="BodyText"/>
      </w:pPr>
      <w:r>
        <w:t xml:space="preserve">Unit</w:t>
      </w:r>
    </w:p>
    <w:p>
      <w:pPr>
        <w:pStyle w:val="BodyText"/>
      </w:pPr>
      <w:r>
        <w:t xml:space="preserve">98,000,000</w:t>
      </w:r>
    </w:p>
    <w:p>
      <w:pPr>
        <w:pStyle w:val="BodyText"/>
      </w:pPr>
      <w:r>
        <w:t xml:space="preserve">98,000,000</w:t>
      </w:r>
    </w:p>
    <w:p>
      <w:pPr>
        <w:pStyle w:val="BodyText"/>
      </w:pPr>
      <w:r>
        <w:t xml:space="preserve">04</w:t>
      </w:r>
    </w:p>
    <w:p>
      <w:pPr>
        <w:pStyle w:val="BodyText"/>
      </w:pPr>
      <w:r>
        <w:t xml:space="preserve">Baker Control Panel – Digital PLC-based, multilingual (Persian/English)</w:t>
      </w:r>
    </w:p>
    <w:p>
      <w:pPr>
        <w:pStyle w:val="BodyText"/>
      </w:pPr>
      <w:r>
        <w:t xml:space="preserve">1</w:t>
      </w:r>
    </w:p>
    <w:p>
      <w:pPr>
        <w:pStyle w:val="BodyText"/>
      </w:pPr>
      <w:r>
        <w:t xml:space="preserve">Set</w:t>
      </w:r>
    </w:p>
    <w:p>
      <w:pPr>
        <w:pStyle w:val="BodyText"/>
      </w:pPr>
      <w:r>
        <w:t xml:space="preserve">67,500,000</w:t>
      </w:r>
    </w:p>
    <w:p>
      <w:pPr>
        <w:pStyle w:val="BodyText"/>
      </w:pPr>
      <w:r>
        <w:t xml:space="preserve">67,500,000</w:t>
      </w:r>
    </w:p>
    <w:p>
      <w:pPr>
        <w:pStyle w:val="BodyText"/>
      </w:pPr>
      <w:r>
        <w:t xml:space="preserve">05</w:t>
      </w:r>
    </w:p>
    <w:p>
      <w:pPr>
        <w:pStyle w:val="BodyText"/>
      </w:pPr>
      <w:r>
        <w:t xml:space="preserve">Conveyor Belt System – Food-grade, 8-meter length, integrated with Baker line</w:t>
      </w:r>
    </w:p>
    <w:p>
      <w:pPr>
        <w:pStyle w:val="BodyText"/>
      </w:pPr>
      <w:r>
        <w:t xml:space="preserve">1</w:t>
      </w:r>
    </w:p>
    <w:p>
      <w:pPr>
        <w:pStyle w:val="BodyText"/>
      </w:pPr>
      <w:r>
        <w:t xml:space="preserve">Set</w:t>
      </w:r>
    </w:p>
    <w:p>
      <w:pPr>
        <w:pStyle w:val="BodyText"/>
      </w:pPr>
      <w:r>
        <w:t xml:space="preserve">112,000,000</w:t>
      </w:r>
    </w:p>
    <w:p>
      <w:pPr>
        <w:pStyle w:val="BodyText"/>
      </w:pPr>
      <w:r>
        <w:t xml:space="preserve">112,000,000</w:t>
      </w:r>
    </w:p>
    <w:p>
      <w:pPr>
        <w:pStyle w:val="BodyText"/>
      </w:pPr>
      <w:r>
        <w:t xml:space="preserve">06</w:t>
      </w:r>
    </w:p>
    <w:p>
      <w:pPr>
        <w:pStyle w:val="BodyText"/>
      </w:pPr>
      <w:r>
        <w:t xml:space="preserve">Exhaust and Ventilation System – Compliant with Tehran air quality regulations</w:t>
      </w:r>
    </w:p>
    <w:p>
      <w:pPr>
        <w:pStyle w:val="BodyText"/>
      </w:pPr>
      <w:r>
        <w:t xml:space="preserve">1</w:t>
      </w:r>
    </w:p>
    <w:p>
      <w:pPr>
        <w:pStyle w:val="BodyText"/>
      </w:pPr>
      <w:r>
        <w:t xml:space="preserve">Set</w:t>
      </w:r>
    </w:p>
    <w:p>
      <w:pPr>
        <w:pStyle w:val="BodyText"/>
      </w:pPr>
      <w:r>
        <w:t xml:space="preserve">74,000,000</w:t>
      </w:r>
    </w:p>
    <w:p>
      <w:pPr>
        <w:pStyle w:val="BodyText"/>
      </w:pPr>
      <w:r>
        <w:t xml:space="preserve">74,000,000</w:t>
      </w:r>
    </w:p>
    <w:p>
      <w:pPr>
        <w:pStyle w:val="BodyText"/>
      </w:pPr>
      <w:r>
        <w:t xml:space="preserve">07</w:t>
      </w:r>
    </w:p>
    <w:p>
      <w:pPr>
        <w:pStyle w:val="BodyText"/>
      </w:pPr>
      <w:r>
        <w:t xml:space="preserve">Installation, Calibration, and Commissioning Services in Tehran</w:t>
      </w:r>
    </w:p>
    <w:p>
      <w:pPr>
        <w:pStyle w:val="BodyText"/>
      </w:pPr>
      <w:r>
        <w:t xml:space="preserve">1</w:t>
      </w:r>
    </w:p>
    <w:p>
      <w:pPr>
        <w:pStyle w:val="BodyText"/>
      </w:pPr>
      <w:r>
        <w:t xml:space="preserve">Lot</w:t>
      </w:r>
    </w:p>
    <w:p>
      <w:pPr>
        <w:pStyle w:val="BodyText"/>
      </w:pPr>
      <w:r>
        <w:t xml:space="preserve">55,000,000</w:t>
      </w:r>
    </w:p>
    <w:p>
      <w:pPr>
        <w:pStyle w:val="BodyText"/>
      </w:pPr>
      <w:r>
        <w:t xml:space="preserve">55,000,000</w:t>
      </w:r>
    </w:p>
    <w:p>
      <w:pPr>
        <w:pStyle w:val="BodyText"/>
      </w:pPr>
      <w:r>
        <w:t xml:space="preserve">08</w:t>
      </w:r>
    </w:p>
    <w:p>
      <w:pPr>
        <w:pStyle w:val="BodyText"/>
      </w:pPr>
      <w:r>
        <w:t xml:space="preserve">Operator Training – 5-day on-site program at Tehran facility</w:t>
      </w:r>
    </w:p>
    <w:p>
      <w:pPr>
        <w:pStyle w:val="BodyText"/>
      </w:pPr>
      <w:r>
        <w:t xml:space="preserve">1</w:t>
      </w:r>
    </w:p>
    <w:p>
      <w:pPr>
        <w:pStyle w:val="BodyText"/>
      </w:pPr>
      <w:r>
        <w:t xml:space="preserve">Lot</w:t>
      </w:r>
    </w:p>
    <w:p>
      <w:pPr>
        <w:pStyle w:val="BodyText"/>
      </w:pPr>
      <w:r>
        <w:t xml:space="preserve">32,000,000</w:t>
      </w:r>
    </w:p>
    <w:p>
      <w:pPr>
        <w:pStyle w:val="BodyText"/>
      </w:pPr>
      <w:r>
        <w:t xml:space="preserve">32,000,000</w:t>
      </w:r>
    </w:p>
    <w:p>
      <w:pPr>
        <w:pStyle w:val="BodyText"/>
      </w:pPr>
      <w:r>
        <w:t xml:space="preserve">09</w:t>
      </w:r>
    </w:p>
    <w:p>
      <w:pPr>
        <w:pStyle w:val="BodyText"/>
      </w:pPr>
      <w:r>
        <w:t xml:space="preserve">Spare Parts Kit – 12-month recommended maintenance package</w:t>
      </w:r>
    </w:p>
    <w:p>
      <w:pPr>
        <w:pStyle w:val="BodyText"/>
      </w:pPr>
      <w:r>
        <w:t xml:space="preserve">1</w:t>
      </w:r>
    </w:p>
    <w:p>
      <w:pPr>
        <w:pStyle w:val="BodyText"/>
      </w:pPr>
      <w:r>
        <w:t xml:space="preserve">Set</w:t>
      </w:r>
    </w:p>
    <w:p>
      <w:pPr>
        <w:pStyle w:val="BodyText"/>
      </w:pPr>
      <w:r>
        <w:t xml:space="preserve">41,000,000</w:t>
      </w:r>
    </w:p>
    <w:p>
      <w:pPr>
        <w:pStyle w:val="BodyText"/>
      </w:pPr>
      <w:r>
        <w:t xml:space="preserve">41,000,000</w:t>
      </w:r>
    </w:p>
    <w:p>
      <w:pPr>
        <w:pStyle w:val="BodyText"/>
      </w:pPr>
      <w:r>
        <w:t xml:space="preserve">10</w:t>
      </w:r>
    </w:p>
    <w:p>
      <w:pPr>
        <w:pStyle w:val="BodyText"/>
      </w:pPr>
      <w:r>
        <w:t xml:space="preserve">Warranty and After-Sales Support – 24-month coverage, Tehran service center</w:t>
      </w:r>
    </w:p>
    <w:p>
      <w:pPr>
        <w:pStyle w:val="BodyText"/>
      </w:pPr>
      <w:r>
        <w:t xml:space="preserve">1</w:t>
      </w:r>
    </w:p>
    <w:p>
      <w:pPr>
        <w:pStyle w:val="BodyText"/>
      </w:pPr>
      <w:r>
        <w:t xml:space="preserve">Lot</w:t>
      </w:r>
    </w:p>
    <w:p>
      <w:pPr>
        <w:pStyle w:val="BodyText"/>
      </w:pPr>
      <w:r>
        <w:t xml:space="preserve">28,000,000</w:t>
      </w:r>
    </w:p>
    <w:p>
      <w:pPr>
        <w:pStyle w:val="BodyText"/>
      </w:pPr>
      <w:r>
        <w:t xml:space="preserve">28,000,000</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01–10)</w:t>
            </w:r>
          </w:p>
        </w:tc>
        <w:tc>
          <w:tcPr/>
          <w:p>
            <w:pPr>
              <w:pStyle w:val="Compact"/>
              <w:jc w:val="right"/>
            </w:pPr>
            <w:r>
              <w:t xml:space="preserve">1,222,500,000 IRR</w:t>
            </w:r>
          </w:p>
        </w:tc>
      </w:tr>
      <w:tr>
        <w:tc>
          <w:tcPr/>
          <w:p>
            <w:pPr>
              <w:pStyle w:val="Compact"/>
              <w:jc w:val="left"/>
            </w:pPr>
            <w:r>
              <w:t xml:space="preserve">VAT (9% – Iranian Value Added Tax)</w:t>
            </w:r>
          </w:p>
        </w:tc>
        <w:tc>
          <w:tcPr/>
          <w:p>
            <w:pPr>
              <w:pStyle w:val="Compact"/>
              <w:jc w:val="right"/>
            </w:pPr>
            <w:r>
              <w:t xml:space="preserve">110,025,000 IRR</w:t>
            </w:r>
          </w:p>
        </w:tc>
      </w:tr>
      <w:tr>
        <w:tc>
          <w:tcPr/>
          <w:p>
            <w:pPr>
              <w:pStyle w:val="Compact"/>
              <w:jc w:val="left"/>
            </w:pPr>
            <w:r>
              <w:t xml:space="preserve">Delivery and Logistics within Tehran City Limits</w:t>
            </w:r>
          </w:p>
        </w:tc>
        <w:tc>
          <w:tcPr/>
          <w:p>
            <w:pPr>
              <w:pStyle w:val="Compact"/>
              <w:jc w:val="right"/>
            </w:pPr>
            <w:r>
              <w:t xml:space="preserve">18,500,000 IRR</w:t>
            </w:r>
          </w:p>
        </w:tc>
      </w:tr>
      <w:tr>
        <w:tc>
          <w:tcPr/>
          <w:p>
            <w:pPr>
              <w:pStyle w:val="Compact"/>
              <w:jc w:val="left"/>
            </w:pPr>
            <w:r>
              <w:t xml:space="preserve">GRAND TOTAL</w:t>
            </w:r>
          </w:p>
        </w:tc>
        <w:tc>
          <w:tcPr/>
          <w:p>
            <w:pPr>
              <w:pStyle w:val="Compact"/>
              <w:jc w:val="right"/>
            </w:pPr>
            <w:r>
              <w:t xml:space="preserve">1,351,025,000 IRR</w:t>
            </w:r>
          </w:p>
        </w:tc>
      </w:tr>
    </w:tbl>
    <w:p>
      <w:pPr>
        <w:pStyle w:val="BodyText"/>
      </w:pPr>
      <w:r>
        <w:rPr>
          <w:iCs/>
          <w:i/>
        </w:rPr>
        <w:t xml:space="preserve">Amount in words: One Billion, Three Hundred Fifty-One Million, Twenty-Five Thousand Iranian Rials.</w:t>
      </w:r>
    </w:p>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prices may be subject to revision due to fluctuations in raw material costs within the Iranian market.</w:t>
      </w:r>
    </w:p>
    <w:p>
      <w:pPr>
        <w:numPr>
          <w:ilvl w:val="0"/>
          <w:numId w:val="1001"/>
        </w:numPr>
        <w:pStyle w:val="Compact"/>
      </w:pPr>
      <w:r>
        <w:rPr>
          <w:bCs/>
          <w:b/>
        </w:rPr>
        <w:t xml:space="preserve">Payment Terms:</w:t>
      </w:r>
      <w:r>
        <w:t xml:space="preserve"> </w:t>
      </w:r>
      <w:r>
        <w:t xml:space="preserve">40% advance payment upon confirmation of the order, 40% upon delivery of the Baker equipment to the Tehran site, and 20% upon successful commissioning and sign-off by the client.</w:t>
      </w:r>
    </w:p>
    <w:p>
      <w:pPr>
        <w:numPr>
          <w:ilvl w:val="0"/>
          <w:numId w:val="1001"/>
        </w:numPr>
        <w:pStyle w:val="Compact"/>
      </w:pPr>
      <w:r>
        <w:rPr>
          <w:bCs/>
          <w:b/>
        </w:rPr>
        <w:t xml:space="preserve">Delivery Timeline:</w:t>
      </w:r>
      <w:r>
        <w:t xml:space="preserve"> </w:t>
      </w:r>
      <w:r>
        <w:t xml:space="preserve">The complete Baker system shall be delivered to the designated location in Tehran within forty-five (45) working days from the receipt of the advance payment.</w:t>
      </w:r>
    </w:p>
    <w:p>
      <w:pPr>
        <w:numPr>
          <w:ilvl w:val="0"/>
          <w:numId w:val="1001"/>
        </w:numPr>
        <w:pStyle w:val="Compact"/>
      </w:pPr>
      <w:r>
        <w:rPr>
          <w:bCs/>
          <w:b/>
        </w:rPr>
        <w:t xml:space="preserve">Warranty:</w:t>
      </w:r>
      <w:r>
        <w:t xml:space="preserve"> </w:t>
      </w:r>
      <w:r>
        <w:t xml:space="preserve">All Baker components carry a minimum two-year warranty against manufacturing defects. The warranty is serviced through our dedicated after-sales center located in the Tehran industrial zone.</w:t>
      </w:r>
    </w:p>
    <w:p>
      <w:pPr>
        <w:numPr>
          <w:ilvl w:val="0"/>
          <w:numId w:val="1001"/>
        </w:numPr>
        <w:pStyle w:val="Compact"/>
      </w:pPr>
      <w:r>
        <w:rPr>
          <w:bCs/>
          <w:b/>
        </w:rPr>
        <w:t xml:space="preserve">Regulatory Compliance:</w:t>
      </w:r>
      <w:r>
        <w:t xml:space="preserve"> </w:t>
      </w:r>
      <w:r>
        <w:t xml:space="preserve">The Baker installation shall be fully compliant with the health and safety codes of Tehran Municipality and the national standards of the Iranian Standards and Quality Organization (ISIRI). All necessary permits and inspections in Tehran shall be coordinated by our team.</w:t>
      </w:r>
    </w:p>
    <w:p>
      <w:pPr>
        <w:numPr>
          <w:ilvl w:val="0"/>
          <w:numId w:val="1001"/>
        </w:numPr>
        <w:pStyle w:val="Compact"/>
      </w:pPr>
      <w:r>
        <w:rPr>
          <w:bCs/>
          <w:b/>
        </w:rPr>
        <w:t xml:space="preserve">Force Majeure:</w:t>
      </w:r>
      <w:r>
        <w:t xml:space="preserve"> </w:t>
      </w:r>
      <w:r>
        <w:t xml:space="preserve">Neither party shall be held liable for delays caused by events beyond reasonable control, including but not limited to natural disasters, government sanctions affecting supply chains, or civil unrest in the Tehran region.</w:t>
      </w:r>
    </w:p>
    <w:p>
      <w:pPr>
        <w:numPr>
          <w:ilvl w:val="0"/>
          <w:numId w:val="1001"/>
        </w:numPr>
        <w:pStyle w:val="Compact"/>
      </w:pPr>
      <w:r>
        <w:rPr>
          <w:bCs/>
          <w:b/>
        </w:rPr>
        <w:t xml:space="preserve">Governing Law:</w:t>
      </w:r>
      <w:r>
        <w:t xml:space="preserve"> </w:t>
      </w:r>
      <w:r>
        <w:t xml:space="preserve">This Quotation Estimate and any resulting contract shall be governed by the civil and commercial laws of the Islamic Republic of Iran. Any disputes shall be resolved through the competent courts of Tehran.</w:t>
      </w:r>
    </w:p>
    <w:p>
      <w:pPr>
        <w:numPr>
          <w:ilvl w:val="0"/>
          <w:numId w:val="1001"/>
        </w:numPr>
        <w:pStyle w:val="Compact"/>
      </w:pPr>
      <w:r>
        <w:rPr>
          <w:bCs/>
          <w:b/>
        </w:rPr>
        <w:t xml:space="preserve">Confidentiality:</w:t>
      </w:r>
      <w:r>
        <w:t xml:space="preserve"> </w:t>
      </w:r>
      <w:r>
        <w:t xml:space="preserve">All pricing and technical details contained in this Quotation Estimate are confidential and intended solely for the named recipient in Tehran, Iran.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the Baker project in Tehran, Iran, and agrees to the terms and conditions outlined herein. This document does not constitute a binding contract until a formal purchase order is issued and accepted by both parties.</w:t>
      </w:r>
    </w:p>
    <w:p>
      <w:pPr>
        <w:pStyle w:val="BodyText"/>
      </w:pPr>
      <w:r>
        <w:rPr>
          <w:bCs/>
          <w:b/>
        </w:rPr>
        <w:t xml:space="preserve">For Tehran Baker Industries Co., Ltd.</w:t>
      </w:r>
    </w:p>
    <w:p>
      <w:pPr>
        <w:pStyle w:val="BodyText"/>
      </w:pPr>
      <w:r>
        <w:t xml:space="preserve">Name: Dr. Saeed Karimi</w:t>
      </w:r>
      <w:r>
        <w:br/>
      </w:r>
      <w:r>
        <w:t xml:space="preserve">Title: Chief Commercial Officer</w:t>
      </w:r>
      <w:r>
        <w:br/>
      </w:r>
      <w:r>
        <w:t xml:space="preserve">Date: _______________</w:t>
      </w:r>
    </w:p>
    <w:p>
      <w:pPr>
        <w:pStyle w:val="BodyText"/>
      </w:pPr>
      <w:r>
        <w:rPr>
          <w:bCs/>
          <w:b/>
        </w:rPr>
        <w:t xml:space="preserve">For the Client (Persian Bread House, Tehran)</w:t>
      </w:r>
    </w:p>
    <w:p>
      <w:pPr>
        <w:pStyle w:val="BodyText"/>
      </w:pPr>
      <w:r>
        <w:t xml:space="preserve">Name: Mr. Ali Reza Mohammadi</w:t>
      </w:r>
      <w:r>
        <w:br/>
      </w:r>
      <w:r>
        <w:t xml:space="preserve">Title: Owner / General Manager</w:t>
      </w:r>
      <w:r>
        <w:br/>
      </w:r>
      <w:r>
        <w:t xml:space="preserve">Date: _______________</w:t>
      </w:r>
    </w:p>
    <w:p>
      <w:pPr>
        <w:pStyle w:val="BodyText"/>
      </w:pPr>
      <w:r>
        <w:t xml:space="preserve">Tehran Baker Industries Co., Ltd. | Quotation Estimate No. TBQ-2025-0347 | Page 1 of 1</w:t>
      </w:r>
    </w:p>
    <w:p>
      <w:pPr>
        <w:pStyle w:val="BodyText"/>
      </w:pPr>
      <w:r>
        <w:t xml:space="preserve">This document is generated electronically and is valid without a physical stamp. For verification, contact estimates@tehranbaker.ir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Tehran, Iran</dc:title>
  <dc:creator/>
  <dc:language>en</dc:language>
  <cp:keywords/>
  <dcterms:created xsi:type="dcterms:W3CDTF">2026-10-10T01:05:13Z</dcterms:created>
  <dcterms:modified xsi:type="dcterms:W3CDTF">2026-10-10T01:05:13Z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