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Baker</w:t>
      </w:r>
      <w:r>
        <w:t xml:space="preserve"> </w:t>
      </w:r>
      <w:r>
        <w:t xml:space="preserve">Services</w:t>
      </w:r>
      <w:r>
        <w:t xml:space="preserve"> </w:t>
      </w:r>
      <w:r>
        <w:t xml:space="preserve">-</w:t>
      </w:r>
      <w:r>
        <w:t xml:space="preserve"> </w:t>
      </w:r>
      <w:r>
        <w:t xml:space="preserve">Russia</w:t>
      </w:r>
      <w:r>
        <w:t xml:space="preserve"> </w:t>
      </w:r>
      <w:r>
        <w:t xml:space="preserve">Moscow</w:t>
      </w:r>
    </w:p>
    <w:bookmarkStart w:id="20" w:name="quotation-estimate"/>
    <w:p>
      <w:pPr>
        <w:pStyle w:val="Heading1"/>
      </w:pPr>
      <w:r>
        <w:t xml:space="preserve">QUOTATION ESTIMATE</w:t>
      </w:r>
    </w:p>
    <w:p>
      <w:pPr>
        <w:pStyle w:val="FirstParagraph"/>
      </w:pPr>
      <w:r>
        <w:t xml:space="preserve">Professional Baker Services &amp; Artisan Baking Establishment</w:t>
      </w:r>
    </w:p>
    <w:p>
      <w:pPr>
        <w:pStyle w:val="BodyText"/>
      </w:pPr>
      <w:r>
        <w:t xml:space="preserve">Prepared for Operation in</w:t>
      </w:r>
      <w:r>
        <w:t xml:space="preserve"> </w:t>
      </w:r>
      <w:r>
        <w:rPr>
          <w:bCs/>
          <w:b/>
        </w:rPr>
        <w:t xml:space="preserve">Russia Moscow</w:t>
      </w:r>
    </w:p>
    <w:bookmarkEnd w:id="20"/>
    <w:p>
      <w:pPr>
        <w:pStyle w:val="BodyText"/>
      </w:pPr>
      <w:r>
        <w:rPr>
          <w:bCs/>
          <w:b/>
        </w:rPr>
        <w:t xml:space="preserve">Quotation No.:</w:t>
      </w:r>
      <w:r>
        <w:t xml:space="preserve"> </w:t>
      </w:r>
      <w:r>
        <w:t xml:space="preserve">QTE-RM-2025-04782</w:t>
      </w:r>
      <w:r>
        <w:br/>
      </w:r>
      <w:r>
        <w:rPr>
          <w:bCs/>
          <w:b/>
        </w:rPr>
        <w:t xml:space="preserve">Date Issued:</w:t>
      </w:r>
      <w:r>
        <w:t xml:space="preserve"> </w:t>
      </w:r>
      <w:r>
        <w:t xml:space="preserve">15 June 2025</w:t>
      </w:r>
      <w:r>
        <w:br/>
      </w:r>
      <w:r>
        <w:rPr>
          <w:bCs/>
          <w:b/>
        </w:rPr>
        <w:t xml:space="preserve">Valid Until:</w:t>
      </w:r>
      <w:r>
        <w:t xml:space="preserve"> </w:t>
      </w:r>
      <w:r>
        <w:t xml:space="preserve">15 September 2025</w:t>
      </w:r>
    </w:p>
    <w:p>
      <w:pPr>
        <w:pStyle w:val="BodyText"/>
      </w:pPr>
      <w:r>
        <w:rPr>
          <w:bCs/>
          <w:b/>
        </w:rPr>
        <w:t xml:space="preserve">Prepared By:</w:t>
      </w:r>
      <w:r>
        <w:t xml:space="preserve"> </w:t>
      </w:r>
      <w:r>
        <w:t xml:space="preserve">Artisan Baking Solutions Ltd.</w:t>
      </w:r>
      <w:r>
        <w:br/>
      </w:r>
      <w:r>
        <w:rPr>
          <w:bCs/>
          <w:b/>
        </w:rPr>
        <w:t xml:space="preserve">Address:</w:t>
      </w:r>
      <w:r>
        <w:t xml:space="preserve"> </w:t>
      </w:r>
      <w:r>
        <w:t xml:space="preserve">14 Tverskaya Street, Moscow, Russia 125009</w:t>
      </w:r>
      <w:r>
        <w:br/>
      </w:r>
      <w:r>
        <w:rPr>
          <w:bCs/>
          <w:b/>
        </w:rPr>
        <w:t xml:space="preserve">Contact:</w:t>
      </w:r>
      <w:r>
        <w:t xml:space="preserve"> </w:t>
      </w:r>
      <w:r>
        <w:t xml:space="preserve">+7 (495) 555-0142 | info@artisanbaking.ru</w:t>
      </w:r>
    </w:p>
    <w:bookmarkStart w:id="21" w:name="client-information"/>
    <w:p>
      <w:pPr>
        <w:pStyle w:val="Heading2"/>
      </w:pPr>
      <w:r>
        <w:t xml:space="preserve">1. Client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Client Name</w:t>
            </w:r>
          </w:p>
        </w:tc>
        <w:tc>
          <w:tcPr/>
          <w:p>
            <w:pPr>
              <w:pStyle w:val="Compact"/>
              <w:jc w:val="left"/>
            </w:pPr>
            <w:r>
              <w:t xml:space="preserve">Mr. Alexander Petrovich Volkov</w:t>
            </w:r>
          </w:p>
        </w:tc>
      </w:tr>
      <w:tr>
        <w:tc>
          <w:tcPr/>
          <w:p>
            <w:pPr>
              <w:pStyle w:val="Compact"/>
              <w:jc w:val="left"/>
            </w:pPr>
            <w:r>
              <w:t xml:space="preserve">Company</w:t>
            </w:r>
          </w:p>
        </w:tc>
        <w:tc>
          <w:tcPr/>
          <w:p>
            <w:pPr>
              <w:pStyle w:val="Compact"/>
              <w:jc w:val="left"/>
            </w:pPr>
            <w:r>
              <w:t xml:space="preserve">Volkov Hospitality Group LLC</w:t>
            </w:r>
          </w:p>
        </w:tc>
      </w:tr>
      <w:tr>
        <w:tc>
          <w:tcPr/>
          <w:p>
            <w:pPr>
              <w:pStyle w:val="Compact"/>
              <w:jc w:val="left"/>
            </w:pPr>
            <w:r>
              <w:t xml:space="preserve">Registered Address</w:t>
            </w:r>
          </w:p>
        </w:tc>
        <w:tc>
          <w:tcPr/>
          <w:p>
            <w:pPr>
              <w:pStyle w:val="Compact"/>
              <w:jc w:val="left"/>
            </w:pPr>
            <w:r>
              <w:t xml:space="preserve">72 Leninsky Prospekt, Moscow, Russia 119017</w:t>
            </w:r>
          </w:p>
        </w:tc>
      </w:tr>
      <w:tr>
        <w:tc>
          <w:tcPr/>
          <w:p>
            <w:pPr>
              <w:pStyle w:val="Compact"/>
              <w:jc w:val="left"/>
            </w:pPr>
            <w:r>
              <w:t xml:space="preserve">Project Location</w:t>
            </w:r>
          </w:p>
        </w:tc>
        <w:tc>
          <w:tcPr/>
          <w:p>
            <w:pPr>
              <w:pStyle w:val="Compact"/>
              <w:jc w:val="left"/>
            </w:pPr>
            <w:r>
              <w:t xml:space="preserve">Arbat District, Central Moscow, Russia</w:t>
            </w:r>
          </w:p>
        </w:tc>
      </w:tr>
      <w:tr>
        <w:tc>
          <w:tcPr/>
          <w:p>
            <w:pPr>
              <w:pStyle w:val="Compact"/>
              <w:jc w:val="left"/>
            </w:pPr>
            <w:r>
              <w:t xml:space="preserve">Project Reference</w:t>
            </w:r>
          </w:p>
        </w:tc>
        <w:tc>
          <w:tcPr/>
          <w:p>
            <w:pPr>
              <w:pStyle w:val="Compact"/>
              <w:jc w:val="left"/>
            </w:pPr>
            <w:r>
              <w:t xml:space="preserve">Establishment of a Full-Service Baker Outlet in Russia Moscow</w:t>
            </w:r>
          </w:p>
        </w:tc>
      </w:tr>
    </w:tbl>
    <w:bookmarkEnd w:id="21"/>
    <w:bookmarkStart w:id="22" w:name="scope-of-work-services"/>
    <w:p>
      <w:pPr>
        <w:pStyle w:val="Heading2"/>
      </w:pPr>
      <w:r>
        <w:t xml:space="preserve">2. Scope of Work &amp; Services</w:t>
      </w:r>
    </w:p>
    <w:p>
      <w:pPr>
        <w:pStyle w:val="FirstParagraph"/>
      </w:pPr>
      <w:r>
        <w:t xml:space="preserve">This</w:t>
      </w:r>
      <w:r>
        <w:t xml:space="preserve"> </w:t>
      </w:r>
      <w:r>
        <w:t xml:space="preserve">Quotation Estimate</w:t>
      </w:r>
      <w:r>
        <w:t xml:space="preserve"> </w:t>
      </w:r>
      <w:r>
        <w:t xml:space="preserve">is issued in connection with the comprehensive engagement of a professional</w:t>
      </w:r>
      <w:r>
        <w:t xml:space="preserve"> </w:t>
      </w:r>
      <w:r>
        <w:t xml:space="preserve">Baker</w:t>
      </w:r>
      <w:r>
        <w:t xml:space="preserve"> </w:t>
      </w:r>
      <w:r>
        <w:t xml:space="preserve">and the full establishment of an artisan baking operation to be located and operated in</w:t>
      </w:r>
      <w:r>
        <w:t xml:space="preserve"> </w:t>
      </w:r>
      <w:r>
        <w:t xml:space="preserve">Russia Moscow</w:t>
      </w:r>
      <w:r>
        <w:t xml:space="preserve">. The scope encompasses all phases from initial site preparation through to the full operational launch of the Baker facility, including equipment procurement, staff training, recipe development tailored to Russian and international palates, and ongoing quality assurance protocols.</w:t>
      </w:r>
    </w:p>
    <w:p>
      <w:pPr>
        <w:pStyle w:val="BodyText"/>
      </w:pPr>
      <w:r>
        <w:t xml:space="preserve">The Baker engagement includes the deployment of a senior master baker with a minimum of fifteen (15) years of experience in both European and Russian traditional baking techniques. The Baker will oversee the production of breads, pastries, confections, and specialty items in accordance with the highest standards of food safety and quality expected in the Russia Moscow market.</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Price (RUB)</w:t>
            </w:r>
          </w:p>
        </w:tc>
        <w:tc>
          <w:tcPr/>
          <w:p>
            <w:pPr>
              <w:pStyle w:val="Compact"/>
              <w:jc w:val="left"/>
            </w:pPr>
            <w:r>
              <w:t xml:space="preserve">Total (RUB)</w:t>
            </w:r>
          </w:p>
        </w:tc>
      </w:tr>
      <w:tr>
        <w:tc>
          <w:tcPr/>
          <w:p>
            <w:pPr>
              <w:pStyle w:val="Compact"/>
              <w:jc w:val="left"/>
            </w:pPr>
            <w:r>
              <w:t xml:space="preserve">01</w:t>
            </w:r>
          </w:p>
        </w:tc>
        <w:tc>
          <w:tcPr/>
          <w:p>
            <w:pPr>
              <w:pStyle w:val="Compact"/>
              <w:jc w:val="left"/>
            </w:pPr>
            <w:r>
              <w:t xml:space="preserve">Senior Master Baker – Annual Retainer (Russia Moscow based)</w:t>
            </w:r>
          </w:p>
        </w:tc>
        <w:tc>
          <w:tcPr/>
          <w:p>
            <w:pPr>
              <w:pStyle w:val="Compact"/>
              <w:jc w:val="left"/>
            </w:pPr>
            <w:r>
              <w:t xml:space="preserve">Year</w:t>
            </w:r>
          </w:p>
        </w:tc>
        <w:tc>
          <w:tcPr/>
          <w:p>
            <w:pPr>
              <w:pStyle w:val="Compact"/>
              <w:jc w:val="left"/>
            </w:pPr>
            <w:r>
              <w:t xml:space="preserve">1</w:t>
            </w:r>
          </w:p>
        </w:tc>
        <w:tc>
          <w:tcPr/>
          <w:p>
            <w:pPr>
              <w:pStyle w:val="Compact"/>
              <w:jc w:val="left"/>
            </w:pPr>
            <w:r>
              <w:t xml:space="preserve">2,400,000</w:t>
            </w:r>
          </w:p>
        </w:tc>
        <w:tc>
          <w:tcPr/>
          <w:p>
            <w:pPr>
              <w:pStyle w:val="Compact"/>
              <w:jc w:val="left"/>
            </w:pPr>
            <w:r>
              <w:t xml:space="preserve">2,400,000</w:t>
            </w:r>
          </w:p>
        </w:tc>
      </w:tr>
      <w:tr>
        <w:tc>
          <w:tcPr/>
          <w:p>
            <w:pPr>
              <w:pStyle w:val="Compact"/>
              <w:jc w:val="left"/>
            </w:pPr>
            <w:r>
              <w:t xml:space="preserve">02</w:t>
            </w:r>
          </w:p>
        </w:tc>
        <w:tc>
          <w:tcPr/>
          <w:p>
            <w:pPr>
              <w:pStyle w:val="Compact"/>
              <w:jc w:val="left"/>
            </w:pPr>
            <w:r>
              <w:t xml:space="preserve">Assistant Bakers &amp; Kitchen Staff (4 positions) – Annual</w:t>
            </w:r>
          </w:p>
        </w:tc>
        <w:tc>
          <w:tcPr/>
          <w:p>
            <w:pPr>
              <w:pStyle w:val="Compact"/>
              <w:jc w:val="left"/>
            </w:pPr>
            <w:r>
              <w:t xml:space="preserve">Year</w:t>
            </w:r>
          </w:p>
        </w:tc>
        <w:tc>
          <w:tcPr/>
          <w:p>
            <w:pPr>
              <w:pStyle w:val="Compact"/>
              <w:jc w:val="left"/>
            </w:pPr>
            <w:r>
              <w:t xml:space="preserve">4</w:t>
            </w:r>
          </w:p>
        </w:tc>
        <w:tc>
          <w:tcPr/>
          <w:p>
            <w:pPr>
              <w:pStyle w:val="Compact"/>
              <w:jc w:val="left"/>
            </w:pPr>
            <w:r>
              <w:t xml:space="preserve">680,000</w:t>
            </w:r>
          </w:p>
        </w:tc>
        <w:tc>
          <w:tcPr/>
          <w:p>
            <w:pPr>
              <w:pStyle w:val="Compact"/>
              <w:jc w:val="left"/>
            </w:pPr>
            <w:r>
              <w:t xml:space="preserve">2,720,000</w:t>
            </w:r>
          </w:p>
        </w:tc>
      </w:tr>
      <w:tr>
        <w:tc>
          <w:tcPr/>
          <w:p>
            <w:pPr>
              <w:pStyle w:val="Compact"/>
              <w:jc w:val="left"/>
            </w:pPr>
            <w:r>
              <w:t xml:space="preserve">03</w:t>
            </w:r>
          </w:p>
        </w:tc>
        <w:tc>
          <w:tcPr/>
          <w:p>
            <w:pPr>
              <w:pStyle w:val="Compact"/>
              <w:jc w:val="left"/>
            </w:pPr>
            <w:r>
              <w:t xml:space="preserve">Industrial Baking Equipment Package (ovens, mixers, proofers, cooling racks)</w:t>
            </w:r>
          </w:p>
        </w:tc>
        <w:tc>
          <w:tcPr/>
          <w:p>
            <w:pPr>
              <w:pStyle w:val="Compact"/>
              <w:jc w:val="left"/>
            </w:pPr>
            <w:r>
              <w:t xml:space="preserve">Lot</w:t>
            </w:r>
          </w:p>
        </w:tc>
        <w:tc>
          <w:tcPr/>
          <w:p>
            <w:pPr>
              <w:pStyle w:val="Compact"/>
              <w:jc w:val="left"/>
            </w:pPr>
            <w:r>
              <w:t xml:space="preserve">1</w:t>
            </w:r>
          </w:p>
        </w:tc>
        <w:tc>
          <w:tcPr/>
          <w:p>
            <w:pPr>
              <w:pStyle w:val="Compact"/>
              <w:jc w:val="left"/>
            </w:pPr>
            <w:r>
              <w:t xml:space="preserve">4,850,000</w:t>
            </w:r>
          </w:p>
        </w:tc>
        <w:tc>
          <w:tcPr/>
          <w:p>
            <w:pPr>
              <w:pStyle w:val="Compact"/>
              <w:jc w:val="left"/>
            </w:pPr>
            <w:r>
              <w:t xml:space="preserve">4,850,000</w:t>
            </w:r>
          </w:p>
        </w:tc>
      </w:tr>
      <w:tr>
        <w:tc>
          <w:tcPr/>
          <w:p>
            <w:pPr>
              <w:pStyle w:val="Compact"/>
              <w:jc w:val="left"/>
            </w:pPr>
            <w:r>
              <w:t xml:space="preserve">04</w:t>
            </w:r>
          </w:p>
        </w:tc>
        <w:tc>
          <w:tcPr/>
          <w:p>
            <w:pPr>
              <w:pStyle w:val="Compact"/>
              <w:jc w:val="left"/>
            </w:pPr>
            <w:r>
              <w:t xml:space="preserve">Site Fit-Out &amp; Kitchen Installation (Arbat District premises, 180 m²)</w:t>
            </w:r>
          </w:p>
        </w:tc>
        <w:tc>
          <w:tcPr/>
          <w:p>
            <w:pPr>
              <w:pStyle w:val="Compact"/>
              <w:jc w:val="left"/>
            </w:pPr>
            <w:r>
              <w:t xml:space="preserve">Project</w:t>
            </w:r>
          </w:p>
        </w:tc>
        <w:tc>
          <w:tcPr/>
          <w:p>
            <w:pPr>
              <w:pStyle w:val="Compact"/>
              <w:jc w:val="left"/>
            </w:pPr>
            <w:r>
              <w:t xml:space="preserve">1</w:t>
            </w:r>
          </w:p>
        </w:tc>
        <w:tc>
          <w:tcPr/>
          <w:p>
            <w:pPr>
              <w:pStyle w:val="Compact"/>
              <w:jc w:val="left"/>
            </w:pPr>
            <w:r>
              <w:t xml:space="preserve">6,200,000</w:t>
            </w:r>
          </w:p>
        </w:tc>
        <w:tc>
          <w:tcPr/>
          <w:p>
            <w:pPr>
              <w:pStyle w:val="Compact"/>
              <w:jc w:val="left"/>
            </w:pPr>
            <w:r>
              <w:t xml:space="preserve">6,200,000</w:t>
            </w:r>
          </w:p>
        </w:tc>
      </w:tr>
      <w:tr>
        <w:tc>
          <w:tcPr/>
          <w:p>
            <w:pPr>
              <w:pStyle w:val="Compact"/>
              <w:jc w:val="left"/>
            </w:pPr>
            <w:r>
              <w:t xml:space="preserve">05</w:t>
            </w:r>
          </w:p>
        </w:tc>
        <w:tc>
          <w:tcPr/>
          <w:p>
            <w:pPr>
              <w:pStyle w:val="Compact"/>
              <w:jc w:val="left"/>
            </w:pPr>
            <w:r>
              <w:t xml:space="preserve">Recipe Development &amp; Menu Engineering (Russian &amp; International lines)</w:t>
            </w:r>
          </w:p>
        </w:tc>
        <w:tc>
          <w:tcPr/>
          <w:p>
            <w:pPr>
              <w:pStyle w:val="Compact"/>
              <w:jc w:val="left"/>
            </w:pPr>
            <w:r>
              <w:t xml:space="preserve">Phase</w:t>
            </w:r>
          </w:p>
        </w:tc>
        <w:tc>
          <w:tcPr/>
          <w:p>
            <w:pPr>
              <w:pStyle w:val="Compact"/>
              <w:jc w:val="left"/>
            </w:pPr>
            <w:r>
              <w:t xml:space="preserve">1</w:t>
            </w:r>
          </w:p>
        </w:tc>
        <w:tc>
          <w:tcPr/>
          <w:p>
            <w:pPr>
              <w:pStyle w:val="Compact"/>
              <w:jc w:val="left"/>
            </w:pPr>
            <w:r>
              <w:t xml:space="preserve">350,000</w:t>
            </w:r>
          </w:p>
        </w:tc>
        <w:tc>
          <w:tcPr/>
          <w:p>
            <w:pPr>
              <w:pStyle w:val="Compact"/>
              <w:jc w:val="left"/>
            </w:pPr>
            <w:r>
              <w:t xml:space="preserve">350,000</w:t>
            </w:r>
          </w:p>
        </w:tc>
      </w:tr>
      <w:tr>
        <w:tc>
          <w:tcPr/>
          <w:p>
            <w:pPr>
              <w:pStyle w:val="Compact"/>
              <w:jc w:val="left"/>
            </w:pPr>
            <w:r>
              <w:t xml:space="preserve">06</w:t>
            </w:r>
          </w:p>
        </w:tc>
        <w:tc>
          <w:tcPr/>
          <w:p>
            <w:pPr>
              <w:pStyle w:val="Compact"/>
              <w:jc w:val="left"/>
            </w:pPr>
            <w:r>
              <w:t xml:space="preserve">Food Safety Certification &amp; Rospotrebnadzor Compliance (Russia Moscow)</w:t>
            </w:r>
          </w:p>
        </w:tc>
        <w:tc>
          <w:tcPr/>
          <w:p>
            <w:pPr>
              <w:pStyle w:val="Compact"/>
              <w:jc w:val="left"/>
            </w:pPr>
            <w:r>
              <w:t xml:space="preserve">Service</w:t>
            </w:r>
          </w:p>
        </w:tc>
        <w:tc>
          <w:tcPr/>
          <w:p>
            <w:pPr>
              <w:pStyle w:val="Compact"/>
              <w:jc w:val="left"/>
            </w:pPr>
            <w:r>
              <w:t xml:space="preserve">1</w:t>
            </w:r>
          </w:p>
        </w:tc>
        <w:tc>
          <w:tcPr/>
          <w:p>
            <w:pPr>
              <w:pStyle w:val="Compact"/>
              <w:jc w:val="left"/>
            </w:pPr>
            <w:r>
              <w:t xml:space="preserve">180,000</w:t>
            </w:r>
          </w:p>
        </w:tc>
        <w:tc>
          <w:tcPr/>
          <w:p>
            <w:pPr>
              <w:pStyle w:val="Compact"/>
              <w:jc w:val="left"/>
            </w:pPr>
            <w:r>
              <w:t xml:space="preserve">180,000</w:t>
            </w:r>
          </w:p>
        </w:tc>
      </w:tr>
      <w:tr>
        <w:tc>
          <w:tcPr/>
          <w:p>
            <w:pPr>
              <w:pStyle w:val="Compact"/>
              <w:jc w:val="left"/>
            </w:pPr>
            <w:r>
              <w:t xml:space="preserve">07</w:t>
            </w:r>
          </w:p>
        </w:tc>
        <w:tc>
          <w:tcPr/>
          <w:p>
            <w:pPr>
              <w:pStyle w:val="Compact"/>
              <w:jc w:val="left"/>
            </w:pPr>
            <w:r>
              <w:t xml:space="preserve">Branding, Signage &amp; Interior Design for Baker Outlet</w:t>
            </w:r>
          </w:p>
        </w:tc>
        <w:tc>
          <w:tcPr/>
          <w:p>
            <w:pPr>
              <w:pStyle w:val="Compact"/>
              <w:jc w:val="left"/>
            </w:pPr>
            <w:r>
              <w:t xml:space="preserve">Project</w:t>
            </w:r>
          </w:p>
        </w:tc>
        <w:tc>
          <w:tcPr/>
          <w:p>
            <w:pPr>
              <w:pStyle w:val="Compact"/>
              <w:jc w:val="left"/>
            </w:pPr>
            <w:r>
              <w:t xml:space="preserve">1</w:t>
            </w:r>
          </w:p>
        </w:tc>
        <w:tc>
          <w:tcPr/>
          <w:p>
            <w:pPr>
              <w:pStyle w:val="Compact"/>
              <w:jc w:val="left"/>
            </w:pPr>
            <w:r>
              <w:t xml:space="preserve">1,100,000</w:t>
            </w:r>
          </w:p>
        </w:tc>
        <w:tc>
          <w:tcPr/>
          <w:p>
            <w:pPr>
              <w:pStyle w:val="Compact"/>
              <w:jc w:val="left"/>
            </w:pPr>
            <w:r>
              <w:t xml:space="preserve">1,100,000</w:t>
            </w:r>
          </w:p>
        </w:tc>
      </w:tr>
      <w:tr>
        <w:tc>
          <w:tcPr/>
          <w:p>
            <w:pPr>
              <w:pStyle w:val="Compact"/>
              <w:jc w:val="left"/>
            </w:pPr>
            <w:r>
              <w:t xml:space="preserve">08</w:t>
            </w:r>
          </w:p>
        </w:tc>
        <w:tc>
          <w:tcPr/>
          <w:p>
            <w:pPr>
              <w:pStyle w:val="Compact"/>
              <w:jc w:val="left"/>
            </w:pPr>
            <w:r>
              <w:t xml:space="preserve">Initial Raw Material &amp; Ingredient Stock (3-month supply)</w:t>
            </w:r>
          </w:p>
        </w:tc>
        <w:tc>
          <w:tcPr/>
          <w:p>
            <w:pPr>
              <w:pStyle w:val="Compact"/>
              <w:jc w:val="left"/>
            </w:pPr>
            <w:r>
              <w:t xml:space="preserve">Lot</w:t>
            </w:r>
          </w:p>
        </w:tc>
        <w:tc>
          <w:tcPr/>
          <w:p>
            <w:pPr>
              <w:pStyle w:val="Compact"/>
              <w:jc w:val="left"/>
            </w:pPr>
            <w:r>
              <w:t xml:space="preserve">1</w:t>
            </w:r>
          </w:p>
        </w:tc>
        <w:tc>
          <w:tcPr/>
          <w:p>
            <w:pPr>
              <w:pStyle w:val="Compact"/>
              <w:jc w:val="left"/>
            </w:pPr>
            <w:r>
              <w:t xml:space="preserve">920,000</w:t>
            </w:r>
          </w:p>
        </w:tc>
        <w:tc>
          <w:tcPr/>
          <w:p>
            <w:pPr>
              <w:pStyle w:val="Compact"/>
              <w:jc w:val="left"/>
            </w:pPr>
            <w:r>
              <w:t xml:space="preserve">920,000</w:t>
            </w:r>
          </w:p>
        </w:tc>
      </w:tr>
      <w:tr>
        <w:tc>
          <w:tcPr/>
          <w:p>
            <w:pPr>
              <w:pStyle w:val="Compact"/>
              <w:jc w:val="left"/>
            </w:pPr>
            <w:r>
              <w:t xml:space="preserve">09</w:t>
            </w:r>
          </w:p>
        </w:tc>
        <w:tc>
          <w:tcPr/>
          <w:p>
            <w:pPr>
              <w:pStyle w:val="Compact"/>
              <w:jc w:val="left"/>
            </w:pPr>
            <w:r>
              <w:t xml:space="preserve">Staff Training Programme (hygiene, technique, customer service – Russia Moscow standards)</w:t>
            </w:r>
          </w:p>
        </w:tc>
        <w:tc>
          <w:tcPr/>
          <w:p>
            <w:pPr>
              <w:pStyle w:val="Compact"/>
              <w:jc w:val="left"/>
            </w:pPr>
            <w:r>
              <w:t xml:space="preserve">Programme</w:t>
            </w:r>
          </w:p>
        </w:tc>
        <w:tc>
          <w:tcPr/>
          <w:p>
            <w:pPr>
              <w:pStyle w:val="Compact"/>
              <w:jc w:val="left"/>
            </w:pPr>
            <w:r>
              <w:t xml:space="preserve">1</w:t>
            </w:r>
          </w:p>
        </w:tc>
        <w:tc>
          <w:tcPr/>
          <w:p>
            <w:pPr>
              <w:pStyle w:val="Compact"/>
              <w:jc w:val="left"/>
            </w:pPr>
            <w:r>
              <w:t xml:space="preserve">275,000</w:t>
            </w:r>
          </w:p>
        </w:tc>
        <w:tc>
          <w:tcPr/>
          <w:p>
            <w:pPr>
              <w:pStyle w:val="Compact"/>
              <w:jc w:val="left"/>
            </w:pPr>
            <w:r>
              <w:t xml:space="preserve">275,000</w:t>
            </w:r>
          </w:p>
        </w:tc>
      </w:tr>
      <w:tr>
        <w:tc>
          <w:tcPr/>
          <w:p>
            <w:pPr>
              <w:pStyle w:val="Compact"/>
              <w:jc w:val="left"/>
            </w:pPr>
            <w:r>
              <w:t xml:space="preserve">10</w:t>
            </w:r>
          </w:p>
        </w:tc>
        <w:tc>
          <w:tcPr/>
          <w:p>
            <w:pPr>
              <w:pStyle w:val="Compact"/>
              <w:jc w:val="left"/>
            </w:pPr>
            <w:r>
              <w:t xml:space="preserve">Ongoing Quality Assurance &amp; Monthly Audits (12 months)</w:t>
            </w:r>
          </w:p>
        </w:tc>
        <w:tc>
          <w:tcPr/>
          <w:p>
            <w:pPr>
              <w:pStyle w:val="Compact"/>
              <w:jc w:val="left"/>
            </w:pPr>
            <w:r>
              <w:t xml:space="preserve">Year</w:t>
            </w:r>
          </w:p>
        </w:tc>
        <w:tc>
          <w:tcPr/>
          <w:p>
            <w:pPr>
              <w:pStyle w:val="Compact"/>
              <w:jc w:val="left"/>
            </w:pPr>
            <w:r>
              <w:t xml:space="preserve">1</w:t>
            </w:r>
          </w:p>
        </w:tc>
        <w:tc>
          <w:tcPr/>
          <w:p>
            <w:pPr>
              <w:pStyle w:val="Compact"/>
              <w:jc w:val="left"/>
            </w:pPr>
            <w:r>
              <w:t xml:space="preserve">480,000</w:t>
            </w:r>
          </w:p>
        </w:tc>
        <w:tc>
          <w:tcPr/>
          <w:p>
            <w:pPr>
              <w:pStyle w:val="Compact"/>
              <w:jc w:val="left"/>
            </w:pPr>
            <w:r>
              <w:t xml:space="preserve">480,000</w:t>
            </w:r>
          </w:p>
        </w:tc>
      </w:tr>
      <w:tr>
        <w:tc>
          <w:tcPr>
            <w:gridSpan w:val="5"/>
          </w:tcPr>
          <w:p>
            <w:pPr>
              <w:pStyle w:val="Compact"/>
              <w:jc w:val="left"/>
            </w:pPr>
            <w:r>
              <w:t xml:space="preserve">SUBTOTAL</w:t>
            </w:r>
          </w:p>
        </w:tc>
        <w:tc>
          <w:tcPr/>
          <w:p>
            <w:pPr>
              <w:pStyle w:val="Compact"/>
              <w:jc w:val="left"/>
            </w:pPr>
            <w:r>
              <w:t xml:space="preserve">19,875,000</w:t>
            </w:r>
          </w:p>
        </w:tc>
      </w:tr>
      <w:tr>
        <w:tc>
          <w:tcPr>
            <w:gridSpan w:val="5"/>
          </w:tcPr>
          <w:p>
            <w:pPr>
              <w:pStyle w:val="Compact"/>
              <w:jc w:val="left"/>
            </w:pPr>
            <w:r>
              <w:t xml:space="preserve">VAT (20% – Russia Moscow jurisdiction)</w:t>
            </w:r>
          </w:p>
        </w:tc>
        <w:tc>
          <w:tcPr/>
          <w:p>
            <w:pPr>
              <w:pStyle w:val="Compact"/>
              <w:jc w:val="left"/>
            </w:pPr>
            <w:r>
              <w:t xml:space="preserve">3,975,000</w:t>
            </w:r>
          </w:p>
        </w:tc>
      </w:tr>
      <w:tr>
        <w:tc>
          <w:tcPr>
            <w:gridSpan w:val="5"/>
          </w:tcPr>
          <w:p>
            <w:pPr>
              <w:pStyle w:val="Compact"/>
              <w:jc w:val="left"/>
            </w:pPr>
            <w:r>
              <w:t xml:space="preserve">GRAND TOTAL (RUB)</w:t>
            </w:r>
          </w:p>
        </w:tc>
        <w:tc>
          <w:tcPr/>
          <w:p>
            <w:pPr>
              <w:pStyle w:val="Compact"/>
              <w:jc w:val="left"/>
            </w:pPr>
            <w:r>
              <w:t xml:space="preserve">23,850,000</w:t>
            </w:r>
          </w:p>
        </w:tc>
      </w:tr>
    </w:tbl>
    <w:bookmarkEnd w:id="23"/>
    <w:bookmarkStart w:id="24" w:name="payment-terms"/>
    <w:p>
      <w:pPr>
        <w:pStyle w:val="Heading2"/>
      </w:pPr>
      <w:r>
        <w:t xml:space="preserve">4. Payment Terms</w:t>
      </w:r>
    </w:p>
    <w:p>
      <w:pPr>
        <w:pStyle w:val="FirstParagraph"/>
      </w:pPr>
      <w:r>
        <w:t xml:space="preserve">All payments under this Quotation Estimate shall be made in Russian Rubles (RUB) via bank transfer to the account of Artisan Baking Solutions Ltd., Moscow, Russia. The payment schedule is structured as follows:</w:t>
      </w:r>
    </w:p>
    <w:p>
      <w:pPr>
        <w:numPr>
          <w:ilvl w:val="0"/>
          <w:numId w:val="1001"/>
        </w:numPr>
        <w:pStyle w:val="Compact"/>
      </w:pPr>
      <w:r>
        <w:rPr>
          <w:bCs/>
          <w:b/>
        </w:rPr>
        <w:t xml:space="preserve">30% Advance Payment:</w:t>
      </w:r>
      <w:r>
        <w:t xml:space="preserve"> </w:t>
      </w:r>
      <w:r>
        <w:t xml:space="preserve">Due upon acceptance of this Quotation Estimate and execution of the master service agreement. This covers initial site preparation and equipment ordering.</w:t>
      </w:r>
    </w:p>
    <w:p>
      <w:pPr>
        <w:numPr>
          <w:ilvl w:val="0"/>
          <w:numId w:val="1001"/>
        </w:numPr>
        <w:pStyle w:val="Compact"/>
      </w:pPr>
      <w:r>
        <w:rPr>
          <w:bCs/>
          <w:b/>
        </w:rPr>
        <w:t xml:space="preserve">40% Milestone Payment:</w:t>
      </w:r>
      <w:r>
        <w:t xml:space="preserve"> </w:t>
      </w:r>
      <w:r>
        <w:t xml:space="preserve">Due upon completion of kitchen installation, equipment commissioning, and receipt of all Rospotrebnadzor permits for the Baker facility in Russia Moscow.</w:t>
      </w:r>
    </w:p>
    <w:p>
      <w:pPr>
        <w:numPr>
          <w:ilvl w:val="0"/>
          <w:numId w:val="1001"/>
        </w:numPr>
        <w:pStyle w:val="Compact"/>
      </w:pPr>
      <w:r>
        <w:rPr>
          <w:bCs/>
          <w:b/>
        </w:rPr>
        <w:t xml:space="preserve">30% Final Payment:</w:t>
      </w:r>
      <w:r>
        <w:t xml:space="preserve"> </w:t>
      </w:r>
      <w:r>
        <w:t xml:space="preserve">Due upon successful soft-launch of the Baker outlet and completion of the first full production cycle meeting all quality benchmarks.</w:t>
      </w:r>
    </w:p>
    <w:bookmarkEnd w:id="24"/>
    <w:bookmarkStart w:id="25" w:name="terms-conditions"/>
    <w:p>
      <w:pPr>
        <w:pStyle w:val="Heading2"/>
      </w:pPr>
      <w:r>
        <w:t xml:space="preserve">5. Terms &amp; Conditions</w:t>
      </w:r>
    </w:p>
    <w:p>
      <w:pPr>
        <w:numPr>
          <w:ilvl w:val="0"/>
          <w:numId w:val="1002"/>
        </w:numPr>
        <w:pStyle w:val="Compact"/>
      </w:pPr>
      <w:r>
        <w:t xml:space="preserve">This Quotation Estimate is valid for a period of ninety (90) days from the date of issue. Any acceptance beyond this period requires re-confirmation of pricing, as material costs and labour rates in Russia Moscow are subject to market fluctuation.</w:t>
      </w:r>
    </w:p>
    <w:p>
      <w:pPr>
        <w:numPr>
          <w:ilvl w:val="0"/>
          <w:numId w:val="1002"/>
        </w:numPr>
        <w:pStyle w:val="Compact"/>
      </w:pPr>
      <w:r>
        <w:t xml:space="preserve">The Baker and all associated staff shall be engaged in full compliance with the Labour Code of the Russian Federation and all applicable municipal regulations governing food production in Moscow.</w:t>
      </w:r>
    </w:p>
    <w:p>
      <w:pPr>
        <w:numPr>
          <w:ilvl w:val="0"/>
          <w:numId w:val="1002"/>
        </w:numPr>
        <w:pStyle w:val="Compact"/>
      </w:pPr>
      <w:r>
        <w:t xml:space="preserve">All baking equipment and materials shall meet GOST standards and the specific food safety requirements enforced by Rospotrebnadzor for the Russia Moscow region.</w:t>
      </w:r>
    </w:p>
    <w:p>
      <w:pPr>
        <w:numPr>
          <w:ilvl w:val="0"/>
          <w:numId w:val="1002"/>
        </w:numPr>
        <w:pStyle w:val="Compact"/>
      </w:pPr>
      <w:r>
        <w:t xml:space="preserve">The Baker retains intellectual property rights over proprietary recipes developed during the engagement, unless otherwise agreed in writing. The client shall receive a non-exclusive licence to use all menu items for the duration of the operational agreement.</w:t>
      </w:r>
    </w:p>
    <w:p>
      <w:pPr>
        <w:numPr>
          <w:ilvl w:val="0"/>
          <w:numId w:val="1002"/>
        </w:numPr>
        <w:pStyle w:val="Compact"/>
      </w:pPr>
      <w:r>
        <w:t xml:space="preserve">Any changes to the scope of work, including additional product lines, extended operating hours, or relocation within Russia Moscow, shall be subject to a supplementary Quotation Estimate and mutual written consent.</w:t>
      </w:r>
    </w:p>
    <w:p>
      <w:pPr>
        <w:numPr>
          <w:ilvl w:val="0"/>
          <w:numId w:val="1002"/>
        </w:numPr>
        <w:pStyle w:val="Compact"/>
      </w:pPr>
      <w:r>
        <w:t xml:space="preserve">Force majeure events, including but not limited to government-mandated closures, supply chain disruptions, or regulatory changes specific to the Russia Moscow jurisdiction, shall suspend obligations without penalty to either party.</w:t>
      </w:r>
    </w:p>
    <w:p>
      <w:pPr>
        <w:numPr>
          <w:ilvl w:val="0"/>
          <w:numId w:val="1002"/>
        </w:numPr>
        <w:pStyle w:val="Compact"/>
      </w:pPr>
      <w:r>
        <w:t xml:space="preserve">Disputes arising from this Quotation Estimate shall be resolved through arbitration in Moscow, Russia, in accordance with the rules of the Moscow Arbitration Court.</w:t>
      </w:r>
    </w:p>
    <w:p>
      <w:pPr>
        <w:numPr>
          <w:ilvl w:val="0"/>
          <w:numId w:val="1002"/>
        </w:numPr>
        <w:pStyle w:val="Compact"/>
      </w:pPr>
      <w:r>
        <w:t xml:space="preserve">All personal data processed under this agreement shall comply with Federal Law No. 152-FZ on Personal Data of the Russian Federation.</w:t>
      </w:r>
    </w:p>
    <w:bookmarkEnd w:id="25"/>
    <w:bookmarkStart w:id="26" w:name="acceptance-authorization"/>
    <w:p>
      <w:pPr>
        <w:pStyle w:val="Heading2"/>
      </w:pPr>
      <w:r>
        <w:t xml:space="preserve">6. Acceptance &amp; Authorization</w:t>
      </w:r>
    </w:p>
    <w:p>
      <w:pPr>
        <w:pStyle w:val="FirstParagraph"/>
      </w:pPr>
      <w:r>
        <w:t xml:space="preserve">By signing below, the client acknowledges receipt of this Quotation Estimate for the Baker services to be delivered in Russia Moscow and agrees to the terms, pricing, and conditions outlined herein. This document does not constitute a binding contract until a formal Service Agreement is executed by both parties.</w:t>
      </w:r>
    </w:p>
    <w:p>
      <w:pPr>
        <w:pStyle w:val="BodyText"/>
      </w:pPr>
      <w:r>
        <w:rPr>
          <w:bCs/>
          <w:b/>
        </w:rPr>
        <w:t xml:space="preserve">For Artisan Baking Solutions Ltd. (Provider)</w:t>
      </w:r>
      <w:r>
        <w:br/>
      </w:r>
      <w:r>
        <w:br/>
      </w:r>
      <w:r>
        <w:t xml:space="preserve">______________________________</w:t>
      </w:r>
      <w:r>
        <w:br/>
      </w:r>
      <w:r>
        <w:t xml:space="preserve">Name: Dmitry S. Kuznetsov</w:t>
      </w:r>
      <w:r>
        <w:br/>
      </w:r>
      <w:r>
        <w:t xml:space="preserve">Title: Director of Operations</w:t>
      </w:r>
      <w:r>
        <w:br/>
      </w:r>
      <w:r>
        <w:t xml:space="preserve">Date: _______________</w:t>
      </w:r>
    </w:p>
    <w:p>
      <w:pPr>
        <w:pStyle w:val="BodyText"/>
      </w:pPr>
      <w:r>
        <w:rPr>
          <w:bCs/>
          <w:b/>
        </w:rPr>
        <w:t xml:space="preserve">For Volkov Hospitality Group LLC (Client)</w:t>
      </w:r>
      <w:r>
        <w:br/>
      </w:r>
      <w:r>
        <w:br/>
      </w:r>
      <w:r>
        <w:t xml:space="preserve">______________________________</w:t>
      </w:r>
      <w:r>
        <w:br/>
      </w:r>
      <w:r>
        <w:t xml:space="preserve">Name: Alexander P. Volkov</w:t>
      </w:r>
      <w:r>
        <w:br/>
      </w:r>
      <w:r>
        <w:t xml:space="preserve">Title: Managing Director</w:t>
      </w:r>
      <w:r>
        <w:br/>
      </w:r>
      <w:r>
        <w:t xml:space="preserve">Date: _______________</w:t>
      </w:r>
    </w:p>
    <w:p>
      <w:pPr>
        <w:pStyle w:val="BodyText"/>
      </w:pPr>
      <w:r>
        <w:t xml:space="preserve">Quotation Estimate QTE-RM-2025-04782 | Artisan Baking Solutions Ltd. | Moscow, Russia | Page 1 of 1</w:t>
      </w:r>
    </w:p>
    <w:p>
      <w:pPr>
        <w:pStyle w:val="BodyText"/>
      </w:pPr>
      <w:r>
        <w:t xml:space="preserve">This document is confidential and intended solely for the named client. Unauthorized reproduction or distribution is prohibited.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Baker Services - Russia Moscow</dc:title>
  <dc:creator/>
  <dc:language>en</dc:language>
  <cp:keywords/>
  <dcterms:created xsi:type="dcterms:W3CDTF">2026-10-10T04:01:06Z</dcterms:created>
  <dcterms:modified xsi:type="dcterms:W3CDTF">2026-10-10T04:01:06Z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