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1" w:name="quotation-estimate"/>
    <w:p>
      <w:pPr>
        <w:pStyle w:val="Heading1"/>
      </w:pPr>
      <w:r>
        <w:t xml:space="preserve">QUOTATION ESTIMATE</w:t>
      </w:r>
    </w:p>
    <w:bookmarkStart w:id="20" w:name="X95a69527fe5f8203702b32f6e230a5f2d2917de"/>
    <w:p>
      <w:pPr>
        <w:pStyle w:val="Heading2"/>
      </w:pPr>
      <w:r>
        <w:t xml:space="preserve">Professional Baker Services &amp; Artisan Baking Solutions</w:t>
      </w:r>
    </w:p>
    <w:p>
      <w:pPr>
        <w:pStyle w:val="FirstParagraph"/>
      </w:pPr>
      <w:r>
        <w:rPr>
          <w:bCs/>
          <w:b/>
        </w:rPr>
        <w:t xml:space="preserve">Al-Nakheel Artisan Bakery &amp; Catering Co.</w:t>
      </w:r>
    </w:p>
    <w:p>
      <w:pPr>
        <w:pStyle w:val="BodyText"/>
      </w:pPr>
      <w:r>
        <w:t xml:space="preserve">King Fahd Road, Al Shati District, Jeddah 23412, Saudi Arabia</w:t>
      </w:r>
    </w:p>
    <w:p>
      <w:pPr>
        <w:pStyle w:val="BodyText"/>
      </w:pPr>
      <w:r>
        <w:t xml:space="preserve">CR No. 1010456789 | VAT No. 310123456700003 | Tel: +966 12 654 3210</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QE-2025-JED-00472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Prepared For:</w:t>
            </w:r>
          </w:p>
        </w:tc>
        <w:tc>
          <w:tcPr/>
          <w:p>
            <w:pPr>
              <w:pStyle w:val="Compact"/>
              <w:jc w:val="left"/>
            </w:pPr>
            <w:r>
              <w:t xml:space="preserve">Al-Rashid Events &amp; Hospitality Group, Jeddah, Saudi Arabia</w:t>
            </w:r>
          </w:p>
        </w:tc>
        <w:tc>
          <w:tcPr/>
          <w:p>
            <w:pPr>
              <w:pStyle w:val="Compact"/>
              <w:jc w:val="left"/>
            </w:pPr>
            <w:r>
              <w:t xml:space="preserve">Contact Person:</w:t>
            </w:r>
          </w:p>
        </w:tc>
        <w:tc>
          <w:tcPr/>
          <w:p>
            <w:pPr>
              <w:pStyle w:val="Compact"/>
              <w:jc w:val="left"/>
            </w:pPr>
            <w:r>
              <w:t xml:space="preserve">Mr. Khalid Al-Rashid</w:t>
            </w:r>
          </w:p>
        </w:tc>
      </w:tr>
      <w:tr>
        <w:tc>
          <w:tcPr/>
          <w:p>
            <w:pPr>
              <w:pStyle w:val="Compact"/>
              <w:jc w:val="left"/>
            </w:pPr>
            <w:r>
              <w:t xml:space="preserve">Project Location:</w:t>
            </w:r>
          </w:p>
        </w:tc>
        <w:tc>
          <w:tcPr>
            <w:gridSpan w:val="3"/>
          </w:tcPr>
          <w:p>
            <w:pPr>
              <w:pStyle w:val="Compact"/>
              <w:jc w:val="left"/>
            </w:pPr>
            <w:r>
              <w:t xml:space="preserve">Jeddah, Saudi Arabia – Red Sea Coastline Venue, Al Shati</w:t>
            </w:r>
          </w:p>
        </w:tc>
      </w:tr>
    </w:tbl>
    <w:bookmarkStart w:id="22" w:name="scope-of-baker-services"/>
    <w:p>
      <w:pPr>
        <w:pStyle w:val="Heading3"/>
      </w:pPr>
      <w:r>
        <w:t xml:space="preserve">1. Scope of Baker Services</w:t>
      </w:r>
    </w:p>
    <w:p>
      <w:pPr>
        <w:pStyle w:val="FirstParagraph"/>
      </w:pPr>
      <w:r>
        <w:t xml:space="preserve">This</w:t>
      </w:r>
      <w:r>
        <w:t xml:space="preserve"> </w:t>
      </w:r>
      <w:r>
        <w:t xml:space="preserve">Quotation Estimate</w:t>
      </w:r>
      <w:r>
        <w:t xml:space="preserve"> </w:t>
      </w:r>
      <w:r>
        <w:t xml:space="preserve">is issued by Al-Nakheel Artisan Bakery &amp; Catering Co. to provide comprehensive professional</w:t>
      </w:r>
      <w:r>
        <w:t xml:space="preserve"> </w:t>
      </w:r>
      <w:r>
        <w:t xml:space="preserve">Baker</w:t>
      </w:r>
      <w:r>
        <w:t xml:space="preserve"> </w:t>
      </w:r>
      <w:r>
        <w:t xml:space="preserve">services for the upcoming corporate gala and wedding reception to be held in</w:t>
      </w:r>
      <w:r>
        <w:t xml:space="preserve"> </w:t>
      </w:r>
      <w:r>
        <w:t xml:space="preserve">Saudi Arabia Jeddah</w:t>
      </w:r>
      <w:r>
        <w:t xml:space="preserve">. Our team of certified master bakers, pastry chefs, and confectionery specialists will deliver a full range of artisan breads, pastries, cakes, and traditional Saudi baked goods tailored to the cultural preferences and dietary requirements of the event attendees. All baking operations will be conducted in compliance with the Saudi Food and Drug Authority (SFDA) regulations and the Halal certification standards mandated for all food products in</w:t>
      </w:r>
      <w:r>
        <w:t xml:space="preserve"> </w:t>
      </w:r>
      <w:r>
        <w:t xml:space="preserve">Saudi Arabia Jeddah</w:t>
      </w:r>
      <w:r>
        <w:t xml:space="preserve">.</w:t>
      </w:r>
    </w:p>
    <w:bookmarkEnd w:id="22"/>
    <w:bookmarkStart w:id="23" w:name="itemized-quotation-estimate-breakdown"/>
    <w:p>
      <w:pPr>
        <w:pStyle w:val="Heading3"/>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Baker Service</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Master Baker – Artisan Bread Production (Khubz, Manakish, Fatayer) – 8-hour service</w:t>
            </w:r>
          </w:p>
        </w:tc>
        <w:tc>
          <w:tcPr/>
          <w:p>
            <w:pPr>
              <w:pStyle w:val="Compact"/>
              <w:jc w:val="left"/>
            </w:pPr>
            <w:r>
              <w:t xml:space="preserve">4 bakers</w:t>
            </w:r>
          </w:p>
        </w:tc>
        <w:tc>
          <w:tcPr/>
          <w:p>
            <w:pPr>
              <w:pStyle w:val="Compact"/>
              <w:jc w:val="left"/>
            </w:pPr>
            <w:r>
              <w:t xml:space="preserve">1,200</w:t>
            </w:r>
          </w:p>
        </w:tc>
        <w:tc>
          <w:tcPr/>
          <w:p>
            <w:pPr>
              <w:pStyle w:val="Compact"/>
              <w:jc w:val="left"/>
            </w:pPr>
            <w:r>
              <w:t xml:space="preserve">4,800</w:t>
            </w:r>
          </w:p>
        </w:tc>
      </w:tr>
      <w:tr>
        <w:tc>
          <w:tcPr/>
          <w:p>
            <w:pPr>
              <w:pStyle w:val="Compact"/>
              <w:jc w:val="left"/>
            </w:pPr>
            <w:r>
              <w:t xml:space="preserve">02</w:t>
            </w:r>
          </w:p>
        </w:tc>
        <w:tc>
          <w:tcPr/>
          <w:p>
            <w:pPr>
              <w:pStyle w:val="Compact"/>
              <w:jc w:val="left"/>
            </w:pPr>
            <w:r>
              <w:t xml:space="preserve">Pastry Chef – French &amp; Middle Eastern Pastries (Makroudh, Baklava, Croissants)</w:t>
            </w:r>
          </w:p>
        </w:tc>
        <w:tc>
          <w:tcPr/>
          <w:p>
            <w:pPr>
              <w:pStyle w:val="Compact"/>
              <w:jc w:val="left"/>
            </w:pPr>
            <w:r>
              <w:t xml:space="preserve">3 chefs</w:t>
            </w:r>
          </w:p>
        </w:tc>
        <w:tc>
          <w:tcPr/>
          <w:p>
            <w:pPr>
              <w:pStyle w:val="Compact"/>
              <w:jc w:val="left"/>
            </w:pPr>
            <w:r>
              <w:t xml:space="preserve">1,500</w:t>
            </w:r>
          </w:p>
        </w:tc>
        <w:tc>
          <w:tcPr/>
          <w:p>
            <w:pPr>
              <w:pStyle w:val="Compact"/>
              <w:jc w:val="left"/>
            </w:pPr>
            <w:r>
              <w:t xml:space="preserve">4,500</w:t>
            </w:r>
          </w:p>
        </w:tc>
      </w:tr>
      <w:tr>
        <w:tc>
          <w:tcPr/>
          <w:p>
            <w:pPr>
              <w:pStyle w:val="Compact"/>
              <w:jc w:val="left"/>
            </w:pPr>
            <w:r>
              <w:t xml:space="preserve">03</w:t>
            </w:r>
          </w:p>
        </w:tc>
        <w:tc>
          <w:tcPr/>
          <w:p>
            <w:pPr>
              <w:pStyle w:val="Compact"/>
              <w:jc w:val="left"/>
            </w:pPr>
            <w:r>
              <w:t xml:space="preserve">Senior Cake Decorator – Multi-tier Wedding Cakes &amp; Custom Dessert Displays</w:t>
            </w:r>
          </w:p>
        </w:tc>
        <w:tc>
          <w:tcPr/>
          <w:p>
            <w:pPr>
              <w:pStyle w:val="Compact"/>
              <w:jc w:val="left"/>
            </w:pPr>
            <w:r>
              <w:t xml:space="preserve">2 decorators</w:t>
            </w:r>
          </w:p>
        </w:tc>
        <w:tc>
          <w:tcPr/>
          <w:p>
            <w:pPr>
              <w:pStyle w:val="Compact"/>
              <w:jc w:val="left"/>
            </w:pPr>
            <w:r>
              <w:t xml:space="preserve">2,000</w:t>
            </w:r>
          </w:p>
        </w:tc>
        <w:tc>
          <w:tcPr/>
          <w:p>
            <w:pPr>
              <w:pStyle w:val="Compact"/>
              <w:jc w:val="left"/>
            </w:pPr>
            <w:r>
              <w:t xml:space="preserve">4,000</w:t>
            </w:r>
          </w:p>
        </w:tc>
      </w:tr>
      <w:tr>
        <w:tc>
          <w:tcPr/>
          <w:p>
            <w:pPr>
              <w:pStyle w:val="Compact"/>
              <w:jc w:val="left"/>
            </w:pPr>
            <w:r>
              <w:t xml:space="preserve">04</w:t>
            </w:r>
          </w:p>
        </w:tc>
        <w:tc>
          <w:tcPr/>
          <w:p>
            <w:pPr>
              <w:pStyle w:val="Compact"/>
              <w:jc w:val="left"/>
            </w:pPr>
            <w:r>
              <w:t xml:space="preserve">Pre-prepared Artisan Bread &amp; Pastry Batches (500 units total for 500 guests)</w:t>
            </w:r>
          </w:p>
        </w:tc>
        <w:tc>
          <w:tcPr/>
          <w:p>
            <w:pPr>
              <w:pStyle w:val="Compact"/>
              <w:jc w:val="left"/>
            </w:pPr>
            <w:r>
              <w:t xml:space="preserve">1 lot</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05</w:t>
            </w:r>
          </w:p>
        </w:tc>
        <w:tc>
          <w:tcPr/>
          <w:p>
            <w:pPr>
              <w:pStyle w:val="Compact"/>
              <w:jc w:val="left"/>
            </w:pPr>
            <w:r>
              <w:t xml:space="preserve">On-site Baking Station Setup &amp; Live Baking Demonstration (Jeddah venue)</w:t>
            </w:r>
          </w:p>
        </w:tc>
        <w:tc>
          <w:tcPr/>
          <w:p>
            <w:pPr>
              <w:pStyle w:val="Compact"/>
              <w:jc w:val="left"/>
            </w:pPr>
            <w:r>
              <w:t xml:space="preserve">1 station</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06</w:t>
            </w:r>
          </w:p>
        </w:tc>
        <w:tc>
          <w:tcPr/>
          <w:p>
            <w:pPr>
              <w:pStyle w:val="Compact"/>
              <w:jc w:val="left"/>
            </w:pPr>
            <w:r>
              <w:t xml:space="preserve">Halal-Certified Premium Ingredients &amp; Specialty Flours (sourced within Saudi Arabia)</w:t>
            </w:r>
          </w:p>
        </w:tc>
        <w:tc>
          <w:tcPr/>
          <w:p>
            <w:pPr>
              <w:pStyle w:val="Compact"/>
              <w:jc w:val="left"/>
            </w:pPr>
            <w:r>
              <w:t xml:space="preserve">1 lot</w:t>
            </w:r>
          </w:p>
        </w:tc>
        <w:tc>
          <w:tcPr/>
          <w:p>
            <w:pPr>
              <w:pStyle w:val="Compact"/>
              <w:jc w:val="left"/>
            </w:pPr>
            <w:r>
              <w:t xml:space="preserve">8,200</w:t>
            </w:r>
          </w:p>
        </w:tc>
        <w:tc>
          <w:tcPr/>
          <w:p>
            <w:pPr>
              <w:pStyle w:val="Compact"/>
              <w:jc w:val="left"/>
            </w:pPr>
            <w:r>
              <w:t xml:space="preserve">8,200</w:t>
            </w:r>
          </w:p>
        </w:tc>
      </w:tr>
      <w:tr>
        <w:tc>
          <w:tcPr/>
          <w:p>
            <w:pPr>
              <w:pStyle w:val="Compact"/>
              <w:jc w:val="left"/>
            </w:pPr>
            <w:r>
              <w:t xml:space="preserve">07</w:t>
            </w:r>
          </w:p>
        </w:tc>
        <w:tc>
          <w:tcPr/>
          <w:p>
            <w:pPr>
              <w:pStyle w:val="Compact"/>
              <w:jc w:val="left"/>
            </w:pPr>
            <w:r>
              <w:t xml:space="preserve">Food Safety Officer &amp; SFDA Compliance Inspection (Jeddah Municipality)</w:t>
            </w:r>
          </w:p>
        </w:tc>
        <w:tc>
          <w:tcPr/>
          <w:p>
            <w:pPr>
              <w:pStyle w:val="Compact"/>
              <w:jc w:val="left"/>
            </w:pPr>
            <w:r>
              <w:t xml:space="preserve">1 officer</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08</w:t>
            </w:r>
          </w:p>
        </w:tc>
        <w:tc>
          <w:tcPr/>
          <w:p>
            <w:pPr>
              <w:pStyle w:val="Compact"/>
              <w:jc w:val="left"/>
            </w:pPr>
            <w:r>
              <w:t xml:space="preserve">Transportation &amp; Logistics – Jeddah City &amp; Al Shati Venue Delivery</w:t>
            </w:r>
          </w:p>
        </w:tc>
        <w:tc>
          <w:tcPr/>
          <w:p>
            <w:pPr>
              <w:pStyle w:val="Compact"/>
              <w:jc w:val="left"/>
            </w:pPr>
            <w:r>
              <w:t xml:space="preserve">2 vehicles</w:t>
            </w:r>
          </w:p>
        </w:tc>
        <w:tc>
          <w:tcPr/>
          <w:p>
            <w:pPr>
              <w:pStyle w:val="Compact"/>
              <w:jc w:val="left"/>
            </w:pPr>
            <w:r>
              <w:t xml:space="preserve">900</w:t>
            </w:r>
          </w:p>
        </w:tc>
        <w:tc>
          <w:tcPr/>
          <w:p>
            <w:pPr>
              <w:pStyle w:val="Compact"/>
              <w:jc w:val="left"/>
            </w:pPr>
            <w:r>
              <w:t xml:space="preserve">1,800</w:t>
            </w:r>
          </w:p>
        </w:tc>
      </w:tr>
      <w:tr>
        <w:tc>
          <w:tcPr/>
          <w:p>
            <w:pPr>
              <w:pStyle w:val="Compact"/>
              <w:jc w:val="left"/>
            </w:pPr>
            <w:r>
              <w:t xml:space="preserve">09</w:t>
            </w:r>
          </w:p>
        </w:tc>
        <w:tc>
          <w:tcPr/>
          <w:p>
            <w:pPr>
              <w:pStyle w:val="Compact"/>
              <w:jc w:val="left"/>
            </w:pPr>
            <w:r>
              <w:t xml:space="preserve">Post-Event Cleanup, Packaging &amp; Leftover Management</w:t>
            </w:r>
          </w:p>
        </w:tc>
        <w:tc>
          <w:tcPr/>
          <w:p>
            <w:pPr>
              <w:pStyle w:val="Compact"/>
              <w:jc w:val="left"/>
            </w:pPr>
            <w:r>
              <w:t xml:space="preserve">1 team</w:t>
            </w:r>
          </w:p>
        </w:tc>
        <w:tc>
          <w:tcPr/>
          <w:p>
            <w:pPr>
              <w:pStyle w:val="Compact"/>
              <w:jc w:val="left"/>
            </w:pPr>
            <w:r>
              <w:t xml:space="preserve">1,200</w:t>
            </w:r>
          </w:p>
        </w:tc>
        <w:tc>
          <w:tcPr/>
          <w:p>
            <w:pPr>
              <w:pStyle w:val="Compact"/>
              <w:jc w:val="left"/>
            </w:pPr>
            <w:r>
              <w:t xml:space="preserve">1,200</w:t>
            </w:r>
          </w:p>
        </w:tc>
      </w:tr>
      <w:tr>
        <w:tc>
          <w:tcPr>
            <w:gridSpan w:val="4"/>
          </w:tcPr>
          <w:p>
            <w:pPr>
              <w:pStyle w:val="Compact"/>
              <w:jc w:val="left"/>
            </w:pPr>
            <w:r>
              <w:t xml:space="preserve">Subtotal</w:t>
            </w:r>
          </w:p>
        </w:tc>
        <w:tc>
          <w:tcPr/>
          <w:p>
            <w:pPr>
              <w:pStyle w:val="Compact"/>
              <w:jc w:val="left"/>
            </w:pPr>
            <w:r>
              <w:t xml:space="preserve">42,300</w:t>
            </w:r>
          </w:p>
        </w:tc>
      </w:tr>
      <w:tr>
        <w:tc>
          <w:tcPr>
            <w:gridSpan w:val="4"/>
          </w:tcPr>
          <w:p>
            <w:pPr>
              <w:pStyle w:val="Compact"/>
              <w:jc w:val="left"/>
            </w:pPr>
            <w:r>
              <w:t xml:space="preserve">VAT (15% – Saudi Arabia)</w:t>
            </w:r>
          </w:p>
        </w:tc>
        <w:tc>
          <w:tcPr/>
          <w:p>
            <w:pPr>
              <w:pStyle w:val="Compact"/>
              <w:jc w:val="left"/>
            </w:pPr>
            <w:r>
              <w:t xml:space="preserve">6,345</w:t>
            </w:r>
          </w:p>
        </w:tc>
      </w:tr>
      <w:tr>
        <w:tc>
          <w:tcPr>
            <w:gridSpan w:val="4"/>
          </w:tcPr>
          <w:p>
            <w:pPr>
              <w:pStyle w:val="Compact"/>
              <w:jc w:val="left"/>
            </w:pPr>
            <w:r>
              <w:rPr>
                <w:bCs/>
                <w:b/>
              </w:rPr>
              <w:t xml:space="preserve">GRAND TOTAL (SAR)</w:t>
            </w:r>
          </w:p>
        </w:tc>
        <w:tc>
          <w:tcPr/>
          <w:p>
            <w:pPr>
              <w:pStyle w:val="Compact"/>
              <w:jc w:val="left"/>
            </w:pPr>
            <w:r>
              <w:rPr>
                <w:bCs/>
                <w:b/>
              </w:rPr>
              <w:t xml:space="preserve">48,645</w:t>
            </w:r>
          </w:p>
        </w:tc>
      </w:tr>
    </w:tbl>
    <w:bookmarkEnd w:id="23"/>
    <w:bookmarkStart w:id="24" w:name="X06f751c0fef37426aad28df54ec1acd620508e5"/>
    <w:p>
      <w:pPr>
        <w:pStyle w:val="Heading3"/>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Any request for services beyond this period will require a revised Quotation Estimate reflecting current market pricing in Saudi Arabia Jeddah.</w:t>
      </w:r>
    </w:p>
    <w:p>
      <w:pPr>
        <w:numPr>
          <w:ilvl w:val="0"/>
          <w:numId w:val="1001"/>
        </w:numPr>
        <w:pStyle w:val="Compact"/>
      </w:pPr>
      <w:r>
        <w:rPr>
          <w:bCs/>
          <w:b/>
        </w:rPr>
        <w:t xml:space="preserve">Payment Terms:</w:t>
      </w:r>
      <w:r>
        <w:t xml:space="preserve"> </w:t>
      </w:r>
      <w:r>
        <w:t xml:space="preserve">A 50% advance payment is due upon acceptance of this Quotation Estimate. The remaining 50% shall be settled within seven (7) business days following the completion of all Baker services at the Jeddah venue.</w:t>
      </w:r>
    </w:p>
    <w:p>
      <w:pPr>
        <w:numPr>
          <w:ilvl w:val="0"/>
          <w:numId w:val="1001"/>
        </w:numPr>
        <w:pStyle w:val="Compact"/>
      </w:pPr>
      <w:r>
        <w:rPr>
          <w:bCs/>
          <w:b/>
        </w:rPr>
        <w:t xml:space="preserve">Halal Compliance:</w:t>
      </w:r>
      <w:r>
        <w:t xml:space="preserve"> </w:t>
      </w:r>
      <w:r>
        <w:t xml:space="preserve">All ingredients, equipment, and processes employed by our Baker team are 100% Halal-certified in accordance with the Saudi Arabian General Authority for Statistics (GASTAT) and SFDA guidelines. No pork-derived products, alcohol, or non-Halal additives will be used at any stage.</w:t>
      </w:r>
    </w:p>
    <w:p>
      <w:pPr>
        <w:numPr>
          <w:ilvl w:val="0"/>
          <w:numId w:val="1001"/>
        </w:numPr>
        <w:pStyle w:val="Compact"/>
      </w:pPr>
      <w:r>
        <w:rPr>
          <w:bCs/>
          <w:b/>
        </w:rPr>
        <w:t xml:space="preserve">Liability &amp; Insurance:</w:t>
      </w:r>
      <w:r>
        <w:t xml:space="preserve"> </w:t>
      </w:r>
      <w:r>
        <w:t xml:space="preserve">Al-Nakheel Artisan Bakery &amp; Catering Co. maintains full public liability insurance coverage of SAR 5,000,000 for all operations conducted within Saudi Arabia Jeddah. The client shall be indemnified against any food-borne illness claims arising from our Baker services.</w:t>
      </w:r>
    </w:p>
    <w:p>
      <w:pPr>
        <w:numPr>
          <w:ilvl w:val="0"/>
          <w:numId w:val="1001"/>
        </w:numPr>
        <w:pStyle w:val="Compact"/>
      </w:pPr>
      <w:r>
        <w:rPr>
          <w:bCs/>
          <w:b/>
        </w:rPr>
        <w:t xml:space="preserve">Force Majeure:</w:t>
      </w:r>
      <w:r>
        <w:t xml:space="preserve"> </w:t>
      </w:r>
      <w:r>
        <w:t xml:space="preserve">Neither party shall be held liable for delays or cancellations caused by events beyond reasonable control, including but not limited to severe weather conditions affecting the Jeddah coastline, government-mandated closures, or civil unrest within Saudi Arabia.</w:t>
      </w:r>
    </w:p>
    <w:p>
      <w:pPr>
        <w:numPr>
          <w:ilvl w:val="0"/>
          <w:numId w:val="1001"/>
        </w:numPr>
        <w:pStyle w:val="Compact"/>
      </w:pPr>
      <w:r>
        <w:rPr>
          <w:bCs/>
          <w:b/>
        </w:rPr>
        <w:t xml:space="preserve">Modifications:</w:t>
      </w:r>
      <w:r>
        <w:t xml:space="preserve"> </w:t>
      </w:r>
      <w:r>
        <w:t xml:space="preserve">Any changes to the scope of Baker services, guest count, or venue location within Jeddah must be communicated in writing at least 72 hours prior to the event. Additional charges may apply as per the revised Quotation Estimate.</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Failing resolution, matters shall be referred to the competent courts in Jeddah, Saudi Arabia, in accordance with the laws of the Kingdom of Saudi Arabia.</w:t>
      </w:r>
    </w:p>
    <w:bookmarkEnd w:id="24"/>
    <w:bookmarkStart w:id="25" w:name="acceptance-authorization"/>
    <w:p>
      <w:pPr>
        <w:pStyle w:val="Heading3"/>
      </w:pPr>
      <w:r>
        <w:t xml:space="preserve">4. Acceptance &amp; Authorization</w:t>
      </w:r>
    </w:p>
    <w:p>
      <w:pPr>
        <w:pStyle w:val="FirstParagraph"/>
      </w:pPr>
      <w:r>
        <w:t xml:space="preserve">By signing below, the client acknowledges and accepts all terms, conditions, and pricing outlined in this Quotation Estimate for the professional Baker services to be delivered in Saudi Arabia Jeddah. This document constitutes a binding agreement upon countersignature by both parties.</w:t>
      </w:r>
    </w:p>
    <w:p>
      <w:pPr>
        <w:pStyle w:val="BodyText"/>
      </w:pPr>
      <w:r>
        <w:rPr>
          <w:bCs/>
          <w:b/>
        </w:rPr>
        <w:t xml:space="preserve">For: Al-Nakheel Artisan Bakery &amp; Catering Co.</w:t>
      </w:r>
    </w:p>
    <w:p>
      <w:pPr>
        <w:pStyle w:val="BodyText"/>
      </w:pPr>
      <w:r>
        <w:t xml:space="preserve">Authorized Signatory / Head Baker</w:t>
      </w:r>
    </w:p>
    <w:p>
      <w:pPr>
        <w:pStyle w:val="BodyText"/>
      </w:pPr>
      <w:r>
        <w:t xml:space="preserve">Name: Ibrahim Al-Nakheel</w:t>
      </w:r>
      <w:r>
        <w:br/>
      </w:r>
      <w:r>
        <w:t xml:space="preserve">Date: _______________</w:t>
      </w:r>
    </w:p>
    <w:p>
      <w:pPr>
        <w:pStyle w:val="BodyText"/>
      </w:pPr>
      <w:r>
        <w:rPr>
          <w:bCs/>
          <w:b/>
        </w:rPr>
        <w:t xml:space="preserve">For: Al-Rashid Events &amp; Hospitality Group</w:t>
      </w:r>
    </w:p>
    <w:p>
      <w:pPr>
        <w:pStyle w:val="BodyText"/>
      </w:pPr>
      <w:r>
        <w:t xml:space="preserve">Authorized Representative</w:t>
      </w:r>
    </w:p>
    <w:p>
      <w:pPr>
        <w:pStyle w:val="BodyText"/>
      </w:pPr>
      <w:r>
        <w:t xml:space="preserve">Name: Khalid Al-Rashid</w:t>
      </w:r>
      <w:r>
        <w:br/>
      </w:r>
      <w:r>
        <w:t xml:space="preserve">Date: _______________</w:t>
      </w:r>
    </w:p>
    <w:p>
      <w:pPr>
        <w:pStyle w:val="BodyText"/>
      </w:pPr>
      <w:r>
        <w:t xml:space="preserve">This Quotation Estimate was prepared exclusively for the client named above and is non-transferable. All prices are in Saudi Riyal (SAR) and inclusive of applicable taxes as per Saudi Arabia Jeddah municipal regulations. Document Reference: QE-2025-JED-00472 | Page 1 of 1</w:t>
      </w:r>
    </w:p>
    <w:p>
      <w:pPr>
        <w:pStyle w:val="BodyText"/>
      </w:pPr>
      <w:r>
        <w:t xml:space="preserve">© 2025 Al-Nakheel Artisan Bakery &amp; Catering Co. – Jeddah, Saudi Arabia.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Saudi Arabia Jeddah</dc:title>
  <dc:creator/>
  <dc:language>en</dc:language>
  <cp:keywords/>
  <dcterms:created xsi:type="dcterms:W3CDTF">2026-10-10T03:20:40Z</dcterms:created>
  <dcterms:modified xsi:type="dcterms:W3CDTF">2026-10-10T03:20:40Z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