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Baker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quotation-estimate"/>
    <w:p>
      <w:pPr>
        <w:pStyle w:val="Heading1"/>
      </w:pPr>
      <w:r>
        <w:t xml:space="preserve">Quotation Estimate</w:t>
      </w:r>
    </w:p>
    <w:p>
      <w:pPr>
        <w:pStyle w:val="FirstParagraph"/>
      </w:pPr>
      <w:r>
        <w:rPr>
          <w:bCs/>
          <w:b/>
        </w:rPr>
        <w:t xml:space="preserve">Al-Riyadh Artisan Baker &amp; Confectionery Services</w:t>
      </w:r>
    </w:p>
    <w:p>
      <w:pPr>
        <w:pStyle w:val="BodyText"/>
      </w:pPr>
      <w:r>
        <w:t xml:space="preserve">Office 412, Kingdom Tower, Olaya District, Saudi Arabia Riyadh, 12212</w:t>
      </w:r>
    </w:p>
    <w:p>
      <w:pPr>
        <w:pStyle w:val="BodyText"/>
      </w:pPr>
      <w:r>
        <w:t xml:space="preserve">Tel: +966 11 456 7890 | Email: quotations@alriyadhartisanbaker.sa</w:t>
      </w:r>
    </w:p>
    <w:p>
      <w:pPr>
        <w:pStyle w:val="BodyText"/>
      </w:pPr>
      <w:r>
        <w:t xml:space="preserve">CR No. 1010XXXXXX | VAT No. 3101XXXXXX00003</w:t>
      </w:r>
    </w:p>
    <w:bookmarkEnd w:id="20"/>
    <w:p>
      <w:pPr>
        <w:pStyle w:val="BodyText"/>
      </w:pPr>
      <w:r>
        <w:rPr>
          <w:bCs/>
          <w:b/>
        </w:rPr>
        <w:t xml:space="preserve">Quotation No.:</w:t>
      </w:r>
      <w:r>
        <w:t xml:space="preserve"> </w:t>
      </w:r>
      <w:r>
        <w:t xml:space="preserve">QTE-2025-0472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For:</w:t>
      </w:r>
      <w:r>
        <w:t xml:space="preserve"> </w:t>
      </w:r>
      <w:r>
        <w:t xml:space="preserve">Al-Nakheel Hospitality Group, Saudi Arabia Riyadh</w:t>
      </w:r>
    </w:p>
    <w:bookmarkStart w:id="21" w:name="introduction-and-scope-of-services"/>
    <w:p>
      <w:pPr>
        <w:pStyle w:val="Heading2"/>
      </w:pPr>
      <w:r>
        <w:t xml:space="preserve">1. Introduction and Scope of Services</w:t>
      </w:r>
    </w:p>
    <w:p>
      <w:pPr>
        <w:pStyle w:val="FirstParagraph"/>
      </w:pPr>
      <w:r>
        <w:t xml:space="preserve">This</w:t>
      </w:r>
      <w:r>
        <w:t xml:space="preserve"> </w:t>
      </w:r>
      <w:r>
        <w:t xml:space="preserve">Quotation Estimate</w:t>
      </w:r>
      <w:r>
        <w:t xml:space="preserve"> </w:t>
      </w:r>
      <w:r>
        <w:t xml:space="preserve">is formally issued by Al-Riyadh Artisan Baker &amp; Confectionery Services (hereinafter referred to as "the Baker") to Al-Nakheel Hospitality Group, a distinguished hospitality and events management company headquartered in Saudi Arabia Riyadh. This document outlines the comprehensive pricing, deliverables, and professional terms associated with the provision of artisanal baking, confectionery, and pastry services for the upcoming corporate gala dinner and seasonal product line development project.</w:t>
      </w:r>
    </w:p>
    <w:p>
      <w:pPr>
        <w:pStyle w:val="BodyText"/>
      </w:pPr>
      <w:r>
        <w:t xml:space="preserve">As a licensed and certified Baker operating under the regulations of the Saudi Food and Drug Authority (SFDA) and the Ministry of Commerce in Saudi Arabia Riyadh, we are committed to delivering the highest standards of quality, hygiene, and culinary excellence. This Quotation Estimate reflects our dedication to serving the Saudi Arabia Riyadh market with authentic, locally inspired, and internationally recognized baked goods and confectionery products.</w:t>
      </w:r>
    </w:p>
    <w:bookmarkEnd w:id="21"/>
    <w:bookmarkStart w:id="22" w:name="itemized-services-and-pricing"/>
    <w:p>
      <w:pPr>
        <w:pStyle w:val="Heading2"/>
      </w:pPr>
      <w:r>
        <w:t xml:space="preserve">2. Itemized Services and Pricing</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Baker Services</w:t>
            </w:r>
          </w:p>
        </w:tc>
        <w:tc>
          <w:tcPr/>
          <w:p>
            <w:pPr>
              <w:pStyle w:val="Compact"/>
              <w:jc w:val="left"/>
            </w:pPr>
            <w:r>
              <w:t xml:space="preserve">Quantity</w:t>
            </w:r>
          </w:p>
        </w:tc>
        <w:tc>
          <w:tcPr/>
          <w:p>
            <w:pPr>
              <w:pStyle w:val="Compact"/>
              <w:jc w:val="left"/>
            </w:pPr>
            <w:r>
              <w:t xml:space="preserve">Unit (SAR)</w:t>
            </w:r>
          </w:p>
        </w:tc>
        <w:tc>
          <w:tcPr/>
          <w:p>
            <w:pPr>
              <w:pStyle w:val="Compact"/>
              <w:jc w:val="left"/>
            </w:pPr>
            <w:r>
              <w:t xml:space="preserve">Amount (SAR)</w:t>
            </w:r>
          </w:p>
        </w:tc>
        <w:tc>
          <w:tcPr/>
          <w:p>
            <w:pPr>
              <w:pStyle w:val="Compact"/>
              <w:jc w:val="left"/>
            </w:pPr>
            <w:r>
              <w:t xml:space="preserve">Delivery</w:t>
            </w:r>
          </w:p>
        </w:tc>
      </w:tr>
      <w:tr>
        <w:tc>
          <w:tcPr/>
          <w:p>
            <w:pPr>
              <w:pStyle w:val="Compact"/>
              <w:jc w:val="left"/>
            </w:pPr>
            <w:r>
              <w:t xml:space="preserve">01</w:t>
            </w:r>
          </w:p>
        </w:tc>
        <w:tc>
          <w:tcPr/>
          <w:p>
            <w:pPr>
              <w:pStyle w:val="Compact"/>
              <w:jc w:val="left"/>
            </w:pPr>
            <w:r>
              <w:t xml:space="preserve">Custom artisan breads and flatbreads (Khubz, Manakish, Pita) – 500 units for corporate gala dinner in Saudi Arabia Riyadh</w:t>
            </w:r>
          </w:p>
        </w:tc>
        <w:tc>
          <w:tcPr/>
          <w:p>
            <w:pPr>
              <w:pStyle w:val="Compact"/>
              <w:jc w:val="left"/>
            </w:pPr>
            <w:r>
              <w:t xml:space="preserve">500 units</w:t>
            </w:r>
          </w:p>
        </w:tc>
        <w:tc>
          <w:tcPr/>
          <w:p>
            <w:pPr>
              <w:pStyle w:val="Compact"/>
              <w:jc w:val="left"/>
            </w:pPr>
            <w:r>
              <w:t xml:space="preserve">8.50</w:t>
            </w:r>
          </w:p>
        </w:tc>
        <w:tc>
          <w:tcPr/>
          <w:p>
            <w:pPr>
              <w:pStyle w:val="Compact"/>
              <w:jc w:val="left"/>
            </w:pPr>
            <w:r>
              <w:t xml:space="preserve">4,250.00</w:t>
            </w:r>
          </w:p>
        </w:tc>
        <w:tc>
          <w:tcPr/>
          <w:p>
            <w:pPr>
              <w:pStyle w:val="Compact"/>
              <w:jc w:val="left"/>
            </w:pPr>
            <w:r>
              <w:t xml:space="preserve">12 June 2025</w:t>
            </w:r>
          </w:p>
        </w:tc>
      </w:tr>
      <w:tr>
        <w:tc>
          <w:tcPr/>
          <w:p>
            <w:pPr>
              <w:pStyle w:val="Compact"/>
              <w:jc w:val="left"/>
            </w:pPr>
            <w:r>
              <w:t xml:space="preserve">02</w:t>
            </w:r>
          </w:p>
        </w:tc>
        <w:tc>
          <w:tcPr/>
          <w:p>
            <w:pPr>
              <w:pStyle w:val="Compact"/>
              <w:jc w:val="left"/>
            </w:pPr>
            <w:r>
              <w:t xml:space="preserve">Assorted premium pastries and croissants (French, Danish, and Saudi-inspired) – 300 pieces</w:t>
            </w:r>
          </w:p>
        </w:tc>
        <w:tc>
          <w:tcPr/>
          <w:p>
            <w:pPr>
              <w:pStyle w:val="Compact"/>
              <w:jc w:val="left"/>
            </w:pPr>
            <w:r>
              <w:t xml:space="preserve">300 pcs</w:t>
            </w:r>
          </w:p>
        </w:tc>
        <w:tc>
          <w:tcPr/>
          <w:p>
            <w:pPr>
              <w:pStyle w:val="Compact"/>
              <w:jc w:val="left"/>
            </w:pPr>
            <w:r>
              <w:t xml:space="preserve">14.00</w:t>
            </w:r>
          </w:p>
        </w:tc>
        <w:tc>
          <w:tcPr/>
          <w:p>
            <w:pPr>
              <w:pStyle w:val="Compact"/>
              <w:jc w:val="left"/>
            </w:pPr>
            <w:r>
              <w:t xml:space="preserve">4,200.00</w:t>
            </w:r>
          </w:p>
        </w:tc>
        <w:tc>
          <w:tcPr/>
          <w:p>
            <w:pPr>
              <w:pStyle w:val="Compact"/>
              <w:jc w:val="left"/>
            </w:pPr>
            <w:r>
              <w:t xml:space="preserve">12 June 2025</w:t>
            </w:r>
          </w:p>
        </w:tc>
      </w:tr>
      <w:tr>
        <w:tc>
          <w:tcPr/>
          <w:p>
            <w:pPr>
              <w:pStyle w:val="Compact"/>
              <w:jc w:val="left"/>
            </w:pPr>
            <w:r>
              <w:t xml:space="preserve">03</w:t>
            </w:r>
          </w:p>
        </w:tc>
        <w:tc>
          <w:tcPr/>
          <w:p>
            <w:pPr>
              <w:pStyle w:val="Compact"/>
              <w:jc w:val="left"/>
            </w:pPr>
            <w:r>
              <w:t xml:space="preserve">Signature wedding-style cake (3-tier, 120 servings) with custom Saudi Arabia Riyadh skyline fondant decoration</w:t>
            </w:r>
          </w:p>
        </w:tc>
        <w:tc>
          <w:tcPr/>
          <w:p>
            <w:pPr>
              <w:pStyle w:val="Compact"/>
              <w:jc w:val="left"/>
            </w:pPr>
            <w:r>
              <w:t xml:space="preserve">1 cake</w:t>
            </w:r>
          </w:p>
        </w:tc>
        <w:tc>
          <w:tcPr/>
          <w:p>
            <w:pPr>
              <w:pStyle w:val="Compact"/>
              <w:jc w:val="left"/>
            </w:pPr>
            <w:r>
              <w:t xml:space="preserve">6,500.00</w:t>
            </w:r>
          </w:p>
        </w:tc>
        <w:tc>
          <w:tcPr/>
          <w:p>
            <w:pPr>
              <w:pStyle w:val="Compact"/>
              <w:jc w:val="left"/>
            </w:pPr>
            <w:r>
              <w:t xml:space="preserve">6,500.00</w:t>
            </w:r>
          </w:p>
        </w:tc>
        <w:tc>
          <w:tcPr/>
          <w:p>
            <w:pPr>
              <w:pStyle w:val="Compact"/>
              <w:jc w:val="left"/>
            </w:pPr>
            <w:r>
              <w:t xml:space="preserve">12 June 2025</w:t>
            </w:r>
          </w:p>
        </w:tc>
      </w:tr>
      <w:tr>
        <w:tc>
          <w:tcPr/>
          <w:p>
            <w:pPr>
              <w:pStyle w:val="Compact"/>
              <w:jc w:val="left"/>
            </w:pPr>
            <w:r>
              <w:t xml:space="preserve">04</w:t>
            </w:r>
          </w:p>
        </w:tc>
        <w:tc>
          <w:tcPr/>
          <w:p>
            <w:pPr>
              <w:pStyle w:val="Compact"/>
              <w:jc w:val="left"/>
            </w:pPr>
            <w:r>
              <w:t xml:space="preserve">Macarons and petit fours assortment (48 varieties, 200 pieces) for VIP reception</w:t>
            </w:r>
          </w:p>
        </w:tc>
        <w:tc>
          <w:tcPr/>
          <w:p>
            <w:pPr>
              <w:pStyle w:val="Compact"/>
              <w:jc w:val="left"/>
            </w:pPr>
            <w:r>
              <w:t xml:space="preserve">200 pcs</w:t>
            </w:r>
          </w:p>
        </w:tc>
        <w:tc>
          <w:tcPr/>
          <w:p>
            <w:pPr>
              <w:pStyle w:val="Compact"/>
              <w:jc w:val="left"/>
            </w:pPr>
            <w:r>
              <w:t xml:space="preserve">18.00</w:t>
            </w:r>
          </w:p>
        </w:tc>
        <w:tc>
          <w:tcPr/>
          <w:p>
            <w:pPr>
              <w:pStyle w:val="Compact"/>
              <w:jc w:val="left"/>
            </w:pPr>
            <w:r>
              <w:t xml:space="preserve">3,600.00</w:t>
            </w:r>
          </w:p>
        </w:tc>
        <w:tc>
          <w:tcPr/>
          <w:p>
            <w:pPr>
              <w:pStyle w:val="Compact"/>
              <w:jc w:val="left"/>
            </w:pPr>
            <w:r>
              <w:t xml:space="preserve">12 June 2025</w:t>
            </w:r>
          </w:p>
        </w:tc>
      </w:tr>
      <w:tr>
        <w:tc>
          <w:tcPr/>
          <w:p>
            <w:pPr>
              <w:pStyle w:val="Compact"/>
              <w:jc w:val="left"/>
            </w:pPr>
            <w:r>
              <w:t xml:space="preserve">05</w:t>
            </w:r>
          </w:p>
        </w:tc>
        <w:tc>
          <w:tcPr/>
          <w:p>
            <w:pPr>
              <w:pStyle w:val="Compact"/>
              <w:jc w:val="left"/>
            </w:pPr>
            <w:r>
              <w:t xml:space="preserve">On-site Baker station and live pastry demonstration (4 hours) at the event venue, Olaya Street, Saudi Arabia Riyadh</w:t>
            </w:r>
          </w:p>
        </w:tc>
        <w:tc>
          <w:tcPr/>
          <w:p>
            <w:pPr>
              <w:pStyle w:val="Compact"/>
              <w:jc w:val="left"/>
            </w:pPr>
            <w:r>
              <w:t xml:space="preserve">1 day</w:t>
            </w:r>
          </w:p>
        </w:tc>
        <w:tc>
          <w:tcPr/>
          <w:p>
            <w:pPr>
              <w:pStyle w:val="Compact"/>
              <w:jc w:val="left"/>
            </w:pPr>
            <w:r>
              <w:t xml:space="preserve">4,800.00</w:t>
            </w:r>
          </w:p>
        </w:tc>
        <w:tc>
          <w:tcPr/>
          <w:p>
            <w:pPr>
              <w:pStyle w:val="Compact"/>
              <w:jc w:val="left"/>
            </w:pPr>
            <w:r>
              <w:t xml:space="preserve">4,800.00</w:t>
            </w:r>
          </w:p>
        </w:tc>
        <w:tc>
          <w:tcPr/>
          <w:p>
            <w:pPr>
              <w:pStyle w:val="Compact"/>
              <w:jc w:val="left"/>
            </w:pPr>
            <w:r>
              <w:t xml:space="preserve">12 June 2025</w:t>
            </w:r>
          </w:p>
        </w:tc>
      </w:tr>
      <w:tr>
        <w:tc>
          <w:tcPr/>
          <w:p>
            <w:pPr>
              <w:pStyle w:val="Compact"/>
              <w:jc w:val="left"/>
            </w:pPr>
            <w:r>
              <w:t xml:space="preserve">06</w:t>
            </w:r>
          </w:p>
        </w:tc>
        <w:tc>
          <w:tcPr/>
          <w:p>
            <w:pPr>
              <w:pStyle w:val="Compact"/>
              <w:jc w:val="left"/>
            </w:pPr>
            <w:r>
              <w:t xml:space="preserve">Seasonal product line development – 8 new SKU recipes, tasting sessions, and packaging design consultation (6 weeks)</w:t>
            </w:r>
          </w:p>
        </w:tc>
        <w:tc>
          <w:tcPr/>
          <w:p>
            <w:pPr>
              <w:pStyle w:val="Compact"/>
              <w:jc w:val="left"/>
            </w:pPr>
            <w:r>
              <w:t xml:space="preserve">8 SKUs</w:t>
            </w:r>
          </w:p>
        </w:tc>
        <w:tc>
          <w:tcPr/>
          <w:p>
            <w:pPr>
              <w:pStyle w:val="Compact"/>
              <w:jc w:val="left"/>
            </w:pPr>
            <w:r>
              <w:t xml:space="preserve">3,200.00</w:t>
            </w:r>
          </w:p>
        </w:tc>
        <w:tc>
          <w:tcPr/>
          <w:p>
            <w:pPr>
              <w:pStyle w:val="Compact"/>
              <w:jc w:val="left"/>
            </w:pPr>
            <w:r>
              <w:t xml:space="preserve">25,600.00</w:t>
            </w:r>
          </w:p>
        </w:tc>
        <w:tc>
          <w:tcPr/>
          <w:p>
            <w:pPr>
              <w:pStyle w:val="Compact"/>
              <w:jc w:val="left"/>
            </w:pPr>
            <w:r>
              <w:t xml:space="preserve">Aug 2025</w:t>
            </w:r>
          </w:p>
        </w:tc>
      </w:tr>
      <w:tr>
        <w:tc>
          <w:tcPr/>
          <w:p>
            <w:pPr>
              <w:pStyle w:val="Compact"/>
              <w:jc w:val="left"/>
            </w:pPr>
            <w:r>
              <w:t xml:space="preserve">07</w:t>
            </w:r>
          </w:p>
        </w:tc>
        <w:tc>
          <w:tcPr/>
          <w:p>
            <w:pPr>
              <w:pStyle w:val="Compact"/>
              <w:jc w:val="left"/>
            </w:pPr>
            <w:r>
              <w:t xml:space="preserve">Staff training program for client's in-house bakery team (12 staff, 5 days, Saudi Arabia Riyadh training center)</w:t>
            </w:r>
          </w:p>
        </w:tc>
        <w:tc>
          <w:tcPr/>
          <w:p>
            <w:pPr>
              <w:pStyle w:val="Compact"/>
              <w:jc w:val="left"/>
            </w:pPr>
            <w:r>
              <w:t xml:space="preserve">12 staff</w:t>
            </w:r>
          </w:p>
        </w:tc>
        <w:tc>
          <w:tcPr/>
          <w:p>
            <w:pPr>
              <w:pStyle w:val="Compact"/>
              <w:jc w:val="left"/>
            </w:pPr>
            <w:r>
              <w:t xml:space="preserve">1,500.00</w:t>
            </w:r>
          </w:p>
        </w:tc>
        <w:tc>
          <w:tcPr/>
          <w:p>
            <w:pPr>
              <w:pStyle w:val="Compact"/>
              <w:jc w:val="left"/>
            </w:pPr>
            <w:r>
              <w:t xml:space="preserve">18,000.00</w:t>
            </w:r>
          </w:p>
        </w:tc>
        <w:tc>
          <w:tcPr/>
          <w:p>
            <w:pPr>
              <w:pStyle w:val="Compact"/>
              <w:jc w:val="left"/>
            </w:pPr>
            <w:r>
              <w:t xml:space="preserve">Jul 2025</w:t>
            </w:r>
          </w:p>
        </w:tc>
      </w:tr>
      <w:tr>
        <w:tc>
          <w:tcPr/>
          <w:p>
            <w:pPr>
              <w:pStyle w:val="Compact"/>
              <w:jc w:val="left"/>
            </w:pPr>
            <w:r>
              <w:t xml:space="preserve">08</w:t>
            </w:r>
          </w:p>
        </w:tc>
        <w:tc>
          <w:tcPr/>
          <w:p>
            <w:pPr>
              <w:pStyle w:val="Compact"/>
              <w:jc w:val="left"/>
            </w:pPr>
            <w:r>
              <w:t xml:space="preserve">Monthly supply contract – 2,000 units of assorted baked goods per month (12-month commitment)</w:t>
            </w:r>
          </w:p>
        </w:tc>
        <w:tc>
          <w:tcPr/>
          <w:p>
            <w:pPr>
              <w:pStyle w:val="Compact"/>
              <w:jc w:val="left"/>
            </w:pPr>
            <w:r>
              <w:t xml:space="preserve">12 months</w:t>
            </w:r>
          </w:p>
        </w:tc>
        <w:tc>
          <w:tcPr/>
          <w:p>
            <w:pPr>
              <w:pStyle w:val="Compact"/>
              <w:jc w:val="left"/>
            </w:pPr>
            <w:r>
              <w:t xml:space="preserve">12,000.00</w:t>
            </w:r>
          </w:p>
        </w:tc>
        <w:tc>
          <w:tcPr/>
          <w:p>
            <w:pPr>
              <w:pStyle w:val="Compact"/>
              <w:jc w:val="left"/>
            </w:pPr>
            <w:r>
              <w:t xml:space="preserve">144,000.00</w:t>
            </w:r>
          </w:p>
        </w:tc>
        <w:tc>
          <w:tcPr/>
          <w:p>
            <w:pPr>
              <w:pStyle w:val="Compact"/>
              <w:jc w:val="left"/>
            </w:pPr>
            <w:r>
              <w:t xml:space="preserve">Monthly</w:t>
            </w:r>
          </w:p>
        </w:tc>
      </w:tr>
      <w:tr>
        <w:tc>
          <w:tcPr>
            <w:gridSpan w:val="4"/>
          </w:tcPr>
          <w:p>
            <w:pPr>
              <w:pStyle w:val="Compact"/>
              <w:jc w:val="right"/>
            </w:pPr>
            <w:r>
              <w:t xml:space="preserve">Subtotal (SAR):</w:t>
            </w:r>
          </w:p>
        </w:tc>
        <w:tc>
          <w:tcPr/>
          <w:p>
            <w:pPr>
              <w:pStyle w:val="Compact"/>
              <w:jc w:val="left"/>
            </w:pPr>
            <w:r>
              <w:t xml:space="preserve">210,950.00</w:t>
            </w:r>
          </w:p>
        </w:tc>
        <w:tc>
          <w:tcPr/>
          <w:p>
            <w:pPr>
              <w:pStyle w:val="Compact"/>
            </w:pPr>
          </w:p>
        </w:tc>
      </w:tr>
      <w:tr>
        <w:tc>
          <w:tcPr>
            <w:gridSpan w:val="4"/>
          </w:tcPr>
          <w:p>
            <w:pPr>
              <w:pStyle w:val="Compact"/>
              <w:jc w:val="right"/>
            </w:pPr>
            <w:r>
              <w:t xml:space="preserve">VAT @ 15% (Saudi Arabia Riyadh):</w:t>
            </w:r>
          </w:p>
        </w:tc>
        <w:tc>
          <w:tcPr/>
          <w:p>
            <w:pPr>
              <w:pStyle w:val="Compact"/>
              <w:jc w:val="left"/>
            </w:pPr>
            <w:r>
              <w:t xml:space="preserve">31,642.50</w:t>
            </w:r>
          </w:p>
        </w:tc>
        <w:tc>
          <w:tcPr/>
          <w:p>
            <w:pPr>
              <w:pStyle w:val="Compact"/>
            </w:pPr>
          </w:p>
        </w:tc>
      </w:tr>
      <w:tr>
        <w:tc>
          <w:tcPr>
            <w:gridSpan w:val="4"/>
          </w:tcPr>
          <w:p>
            <w:pPr>
              <w:pStyle w:val="Compact"/>
              <w:jc w:val="right"/>
            </w:pPr>
            <w:r>
              <w:t xml:space="preserve">Grand Total (SAR):</w:t>
            </w:r>
          </w:p>
        </w:tc>
        <w:tc>
          <w:tcPr/>
          <w:p>
            <w:pPr>
              <w:pStyle w:val="Compact"/>
              <w:jc w:val="left"/>
            </w:pPr>
            <w:r>
              <w:t xml:space="preserve">242,592.50</w:t>
            </w:r>
          </w:p>
        </w:tc>
        <w:tc>
          <w:tcPr/>
          <w:p>
            <w:pPr>
              <w:pStyle w:val="Compact"/>
            </w:pPr>
          </w:p>
        </w:tc>
      </w:tr>
    </w:tbl>
    <w:p>
      <w:pPr>
        <w:pStyle w:val="BodyText"/>
      </w:pPr>
      <w:r>
        <w:t xml:space="preserve">All prices are quoted in Saudi Riyals (SAR). VAT of 15% is applied in accordance with the Zakat and Tax Authority (ZATCA) regulations for Saudi Arabia Riyadh. This Quotation Estimate does not include third-party venue fees, special transport beyond 25 km from our Riyadh facility, or expedited rush charges (25% surcharge).</w:t>
      </w:r>
    </w:p>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the expiry date, the Baker reserves the right to revise pricing due to fluctuations in raw material costs in the Saudi Arabia Riyadh market.</w:t>
      </w:r>
    </w:p>
    <w:p>
      <w:pPr>
        <w:numPr>
          <w:ilvl w:val="0"/>
          <w:numId w:val="1001"/>
        </w:numPr>
        <w:pStyle w:val="Compact"/>
      </w:pPr>
      <w:r>
        <w:rPr>
          <w:bCs/>
          <w:b/>
        </w:rPr>
        <w:t xml:space="preserve">Payment Terms:</w:t>
      </w:r>
      <w:r>
        <w:t xml:space="preserve"> </w:t>
      </w:r>
      <w:r>
        <w:t xml:space="preserve">A 40% advance payment is required upon acceptance of this Quotation Estimate. The remaining 60% shall be settled within fourteen (14) days of final delivery or service completion. Payment shall be made via bank transfer to the Baker's designated account in Saudi Arabia Riyadh.</w:t>
      </w:r>
    </w:p>
    <w:p>
      <w:pPr>
        <w:numPr>
          <w:ilvl w:val="0"/>
          <w:numId w:val="1001"/>
        </w:numPr>
        <w:pStyle w:val="Compact"/>
      </w:pPr>
      <w:r>
        <w:rPr>
          <w:bCs/>
          <w:b/>
        </w:rPr>
        <w:t xml:space="preserve">Delivery and Logistics:</w:t>
      </w:r>
      <w:r>
        <w:t xml:space="preserve"> </w:t>
      </w:r>
      <w:r>
        <w:t xml:space="preserve">All baked goods and confectionery items will be delivered to the client's designated address in Saudi Arabia Riyadh using temperature-controlled vehicles. The Baker assumes responsibility for product integrity during transit within the Riyadh metropolitan area.</w:t>
      </w:r>
    </w:p>
    <w:p>
      <w:pPr>
        <w:numPr>
          <w:ilvl w:val="0"/>
          <w:numId w:val="1001"/>
        </w:numPr>
        <w:pStyle w:val="Compact"/>
      </w:pPr>
      <w:r>
        <w:rPr>
          <w:bCs/>
          <w:b/>
        </w:rPr>
        <w:t xml:space="preserve">Quality Assurance:</w:t>
      </w:r>
      <w:r>
        <w:t xml:space="preserve"> </w:t>
      </w:r>
      <w:r>
        <w:t xml:space="preserve">The Baker guarantees that all products comply with SFDA food safety standards, Halal certification requirements, and the specific specifications outlined in this Quotation Estimate. Any product not meeting agreed-upon quality parameters shall be replaced at no additional cost.</w:t>
      </w:r>
    </w:p>
    <w:p>
      <w:pPr>
        <w:numPr>
          <w:ilvl w:val="0"/>
          <w:numId w:val="1001"/>
        </w:numPr>
        <w:pStyle w:val="Compact"/>
      </w:pPr>
      <w:r>
        <w:rPr>
          <w:bCs/>
          <w:b/>
        </w:rPr>
        <w:t xml:space="preserve">Intellectual Property:</w:t>
      </w:r>
      <w:r>
        <w:t xml:space="preserve"> </w:t>
      </w:r>
      <w:r>
        <w:t xml:space="preserve">All recipes, product formulations, and design concepts developed under the seasonal product line (Ref 06) shall become the exclusive property of the client upon full payment. The Baker retains the right to use general techniques and methods in other engagements.</w:t>
      </w:r>
    </w:p>
    <w:p>
      <w:pPr>
        <w:numPr>
          <w:ilvl w:val="0"/>
          <w:numId w:val="1001"/>
        </w:numPr>
        <w:pStyle w:val="Compact"/>
      </w:pPr>
      <w:r>
        <w:rPr>
          <w:bCs/>
          <w:b/>
        </w:rPr>
        <w:t xml:space="preserve">Cancellation Policy:</w:t>
      </w:r>
      <w:r>
        <w:t xml:space="preserve"> </w:t>
      </w:r>
      <w:r>
        <w:t xml:space="preserve">Cancellations made more than fourteen (14) days prior to the scheduled delivery or service date shall incur a 10% administrative fee. Cancellations within fourteen days shall be subject to a 50% charge of the total Quotation Estimate value.</w:t>
      </w:r>
    </w:p>
    <w:p>
      <w:pPr>
        <w:numPr>
          <w:ilvl w:val="0"/>
          <w:numId w:val="1001"/>
        </w:numPr>
        <w:pStyle w:val="Compact"/>
      </w:pPr>
      <w:r>
        <w:rPr>
          <w:bCs/>
          <w:b/>
        </w:rPr>
        <w:t xml:space="preserve">Governing Law:</w:t>
      </w:r>
      <w:r>
        <w:t xml:space="preserve"> </w:t>
      </w:r>
      <w:r>
        <w:t xml:space="preserve">This Quotation Estimate and any resulting contract shall be governed by the laws of the Kingdom of Saudi Arabia. Any disputes shall be resolved through the commercial courts in Saudi Arabia Riyadh.</w:t>
      </w:r>
    </w:p>
    <w:p>
      <w:pPr>
        <w:numPr>
          <w:ilvl w:val="0"/>
          <w:numId w:val="1001"/>
        </w:numPr>
        <w:pStyle w:val="Compact"/>
      </w:pPr>
      <w:r>
        <w:rPr>
          <w:bCs/>
          <w:b/>
        </w:rPr>
        <w:t xml:space="preserve">Force Majeure:</w:t>
      </w:r>
      <w:r>
        <w:t xml:space="preserve"> </w:t>
      </w:r>
      <w:r>
        <w:t xml:space="preserve">The Baker shall not be held liable for delays or non-performance caused by events beyond reasonable control, including but not limited to natural disasters, government mandates, or supply chain disruptions affecting the Saudi Arabia Riyadh region.</w:t>
      </w:r>
    </w:p>
    <w:bookmarkEnd w:id="23"/>
    <w:bookmarkStart w:id="24" w:name="acceptance-and-authorization"/>
    <w:p>
      <w:pPr>
        <w:pStyle w:val="Heading2"/>
      </w:pPr>
      <w:r>
        <w:t xml:space="preserve">4. Acceptance and Authorization</w:t>
      </w:r>
    </w:p>
    <w:p>
      <w:pPr>
        <w:pStyle w:val="FirstParagraph"/>
      </w:pPr>
      <w:r>
        <w:t xml:space="preserve">By signing below, the client acknowledges and accepts all terms, conditions, and pricing outlined in this Quotation Estimate. The Baker confirms availability of all specified services and products for the stated delivery dates. This document, once countersigned by both parties, constitutes a binding agreement for the services described herein.</w:t>
      </w:r>
    </w:p>
    <w:p>
      <w:pPr>
        <w:pStyle w:val="BodyText"/>
      </w:pPr>
      <w:r>
        <w:rPr>
          <w:bCs/>
          <w:b/>
        </w:rPr>
        <w:t xml:space="preserve">For: Al-Riyadh Artisan Baker &amp; Confectionery Services</w:t>
      </w:r>
      <w:r>
        <w:br/>
      </w:r>
      <w:r>
        <w:t xml:space="preserve">Authorized Signatory / Head Baker</w:t>
      </w:r>
      <w:r>
        <w:br/>
      </w:r>
      <w:r>
        <w:t xml:space="preserve">Name: _________________________</w:t>
      </w:r>
      <w:r>
        <w:br/>
      </w:r>
      <w:r>
        <w:t xml:space="preserve">Date: _________________________</w:t>
      </w:r>
    </w:p>
    <w:p>
      <w:pPr>
        <w:pStyle w:val="BodyText"/>
      </w:pPr>
      <w:r>
        <w:rPr>
          <w:bCs/>
          <w:b/>
        </w:rPr>
        <w:t xml:space="preserve">For: Al-Nakheel Hospitality Group (Client)</w:t>
      </w:r>
      <w:r>
        <w:br/>
      </w:r>
      <w:r>
        <w:t xml:space="preserve">Authorized Signatory / Procurement Manager</w:t>
      </w:r>
      <w:r>
        <w:br/>
      </w:r>
      <w:r>
        <w:t xml:space="preserve">Name: _________________________</w:t>
      </w:r>
      <w:r>
        <w:br/>
      </w:r>
      <w:r>
        <w:t xml:space="preserve">Date: _________________________</w:t>
      </w:r>
    </w:p>
    <w:p>
      <w:pPr>
        <w:pStyle w:val="BodyText"/>
      </w:pPr>
      <w:r>
        <w:t xml:space="preserve">This Quotation Estimate was prepared by Al-Riyadh Artisan Baker &amp; Confectionery Services, Saudi Arabia Riyadh. Document Ref: QTE-2025-0472. Page 1 of 1.</w:t>
      </w:r>
    </w:p>
    <w:p>
      <w:pPr>
        <w:pStyle w:val="BodyText"/>
      </w:pPr>
      <w:r>
        <w:t xml:space="preserve">For inquiries regarding this Quotation Estimate, please contact our commercial team at +966 11 456 7890 or quotations@alriyadhartisanbaker.sa.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Baker Services - Saudi Arabia Riyadh</dc:title>
  <dc:creator/>
  <dc:language>en</dc:language>
  <cp:keywords/>
  <dcterms:created xsi:type="dcterms:W3CDTF">2026-10-10T03:58:39Z</dcterms:created>
  <dcterms:modified xsi:type="dcterms:W3CDTF">2026-10-10T03:58:39Z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