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quotation-estimate"/>
    <w:p>
      <w:pPr>
        <w:pStyle w:val="Heading1"/>
      </w:pPr>
      <w:r>
        <w:t xml:space="preserve">Quotation Estimate</w:t>
      </w:r>
    </w:p>
    <w:p>
      <w:pPr>
        <w:pStyle w:val="FirstParagraph"/>
      </w:pPr>
      <w:r>
        <w:t xml:space="preserve">Professional Banker Services — Argentina Buenos Aires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QE-BK-2025-04871</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Validity Period:</w:t>
            </w:r>
          </w:p>
        </w:tc>
        <w:tc>
          <w:tcPr/>
          <w:p>
            <w:pPr>
              <w:pStyle w:val="Compact"/>
              <w:jc w:val="left"/>
            </w:pPr>
            <w:r>
              <w:t xml:space="preserve">30 calendar days from date of issue (expires July 12, 2025)</w:t>
            </w:r>
          </w:p>
        </w:tc>
      </w:tr>
      <w:tr>
        <w:tc>
          <w:tcPr/>
          <w:p>
            <w:pPr>
              <w:pStyle w:val="Compact"/>
              <w:jc w:val="left"/>
            </w:pPr>
            <w:r>
              <w:t xml:space="preserve">Service Provider (Banker):</w:t>
            </w:r>
          </w:p>
        </w:tc>
        <w:tc>
          <w:tcPr/>
          <w:p>
            <w:pPr>
              <w:pStyle w:val="Compact"/>
              <w:jc w:val="left"/>
            </w:pPr>
            <w:r>
              <w:t xml:space="preserve">Señor Ricardo A. Monteverde, CFA — Senior Banker &amp; Financial Advisor, Monteverde &amp; Asociados S.A.</w:t>
            </w:r>
          </w:p>
        </w:tc>
      </w:tr>
      <w:tr>
        <w:tc>
          <w:tcPr/>
          <w:p>
            <w:pPr>
              <w:pStyle w:val="Compact"/>
              <w:jc w:val="left"/>
            </w:pPr>
            <w:r>
              <w:t xml:space="preserve">Banker Registration:</w:t>
            </w:r>
          </w:p>
        </w:tc>
        <w:tc>
          <w:tcPr/>
          <w:p>
            <w:pPr>
              <w:pStyle w:val="Compact"/>
              <w:jc w:val="left"/>
            </w:pPr>
            <w:r>
              <w:t xml:space="preserve">AFIP Registered Professional — License No. BA-2019-004471, Buenos Aires, Argentina</w:t>
            </w:r>
          </w:p>
        </w:tc>
      </w:tr>
      <w:tr>
        <w:tc>
          <w:tcPr/>
          <w:p>
            <w:pPr>
              <w:pStyle w:val="Compact"/>
              <w:jc w:val="left"/>
            </w:pPr>
            <w:r>
              <w:t xml:space="preserve">Client / Recipient:</w:t>
            </w:r>
          </w:p>
        </w:tc>
        <w:tc>
          <w:tcPr/>
          <w:p>
            <w:pPr>
              <w:pStyle w:val="Compact"/>
              <w:jc w:val="left"/>
            </w:pPr>
            <w:r>
              <w:t xml:space="preserve">Grupo Industrial del Plata S.A. — Av. Corrientes 1520, Piso 14, C1043AAE, Buenos Aires, Argentina</w:t>
            </w:r>
          </w:p>
        </w:tc>
      </w:tr>
      <w:tr>
        <w:tc>
          <w:tcPr/>
          <w:p>
            <w:pPr>
              <w:pStyle w:val="Compact"/>
              <w:jc w:val="left"/>
            </w:pPr>
            <w:r>
              <w:t xml:space="preserve">Currency:</w:t>
            </w:r>
          </w:p>
        </w:tc>
        <w:tc>
          <w:tcPr/>
          <w:p>
            <w:pPr>
              <w:pStyle w:val="Compact"/>
              <w:jc w:val="left"/>
            </w:pPr>
            <w:r>
              <w:t xml:space="preserve">Argentine Peso (ARS) / US Dollar (USD) — dual-currency quotation</w:t>
            </w:r>
          </w:p>
        </w:tc>
      </w:tr>
    </w:tbl>
    <w:bookmarkStart w:id="21" w:name="purpose-of-this-quotation-estimate"/>
    <w:p>
      <w:pPr>
        <w:pStyle w:val="Heading2"/>
      </w:pPr>
      <w:r>
        <w:t xml:space="preserve">1. Purpose of This Quotation Estimate</w:t>
      </w:r>
    </w:p>
    <w:p>
      <w:pPr>
        <w:pStyle w:val="FirstParagraph"/>
      </w:pPr>
      <w:r>
        <w:t xml:space="preserve">This Quotation Estimate is issued by the undersigned Banker, Señor Ricardo A. Monteverde, operating under the professional firm Monteverde &amp; Asociados S.A., to provide Grupo Industrial del Plata S.A. with a comprehensive, itemized estimate of costs for the engagement of professional Banker services in Argentina Buenos Aires. This document serves as a formal Quotation Estimate outlining the scope of work, deliverables, fee structure, and applicable terms governing the provision of banking advisory, treasury management, and financial structuring services within the jurisdiction of Buenos Aires, Argentina.</w:t>
      </w:r>
    </w:p>
    <w:bookmarkEnd w:id="21"/>
    <w:bookmarkStart w:id="22" w:name="scope-of-banker-services"/>
    <w:p>
      <w:pPr>
        <w:pStyle w:val="Heading2"/>
      </w:pPr>
      <w:r>
        <w:t xml:space="preserve">2. Scope of Banker Services</w:t>
      </w:r>
    </w:p>
    <w:p>
      <w:pPr>
        <w:pStyle w:val="FirstParagraph"/>
      </w:pPr>
      <w:r>
        <w:t xml:space="preserve">The Banker engaged under this Quotation Estimate shall provide the following professional services to the Client, all to be performed in accordance with the regulations of the Banco Central de la República Argentina (BCRA) and applicable Argentine financial legislation: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Banker Service</w:t>
            </w:r>
          </w:p>
        </w:tc>
        <w:tc>
          <w:tcPr/>
          <w:p>
            <w:pPr>
              <w:pStyle w:val="Compact"/>
              <w:jc w:val="left"/>
            </w:pPr>
            <w:r>
              <w:t xml:space="preserve">Duration / Frequency</w:t>
            </w:r>
          </w:p>
        </w:tc>
        <w:tc>
          <w:tcPr/>
          <w:p>
            <w:pPr>
              <w:pStyle w:val="Compact"/>
              <w:jc w:val="left"/>
            </w:pPr>
            <w:r>
              <w:t xml:space="preserve">Fee (ARS)</w:t>
            </w:r>
          </w:p>
        </w:tc>
        <w:tc>
          <w:tcPr/>
          <w:p>
            <w:pPr>
              <w:pStyle w:val="Compact"/>
              <w:jc w:val="left"/>
            </w:pPr>
            <w:r>
              <w:t xml:space="preserve">Fee (USD)</w:t>
            </w:r>
          </w:p>
        </w:tc>
      </w:tr>
      <w:tr>
        <w:tc>
          <w:tcPr/>
          <w:p>
            <w:pPr>
              <w:pStyle w:val="Compact"/>
              <w:jc w:val="left"/>
            </w:pPr>
            <w:r>
              <w:t xml:space="preserve">1</w:t>
            </w:r>
          </w:p>
        </w:tc>
        <w:tc>
          <w:tcPr/>
          <w:p>
            <w:pPr>
              <w:pStyle w:val="Compact"/>
              <w:jc w:val="left"/>
            </w:pPr>
            <w:r>
              <w:t xml:space="preserve">Comprehensive Treasury Management &amp; Cash Flow Optimization for the Client’s Buenos Aires operations, including daily liquidity planning, interbank sweep arrangements, and short-term investment allocation.</w:t>
            </w:r>
          </w:p>
        </w:tc>
        <w:tc>
          <w:tcPr/>
          <w:p>
            <w:pPr>
              <w:pStyle w:val="Compact"/>
              <w:jc w:val="left"/>
            </w:pPr>
            <w:r>
              <w:t xml:space="preserve">Monthly retainer (12 months)</w:t>
            </w:r>
          </w:p>
        </w:tc>
        <w:tc>
          <w:tcPr/>
          <w:p>
            <w:pPr>
              <w:pStyle w:val="Compact"/>
              <w:jc w:val="left"/>
            </w:pPr>
            <w:r>
              <w:t xml:space="preserve">1,250,000.00 / month</w:t>
            </w:r>
          </w:p>
        </w:tc>
        <w:tc>
          <w:tcPr/>
          <w:p>
            <w:pPr>
              <w:pStyle w:val="Compact"/>
              <w:jc w:val="left"/>
            </w:pPr>
            <w:r>
              <w:t xml:space="preserve">1,100.00 / month</w:t>
            </w:r>
          </w:p>
        </w:tc>
      </w:tr>
      <w:tr>
        <w:tc>
          <w:tcPr/>
          <w:p>
            <w:pPr>
              <w:pStyle w:val="Compact"/>
              <w:jc w:val="left"/>
            </w:pPr>
            <w:r>
              <w:t xml:space="preserve">2</w:t>
            </w:r>
          </w:p>
        </w:tc>
        <w:tc>
          <w:tcPr/>
          <w:p>
            <w:pPr>
              <w:pStyle w:val="Compact"/>
              <w:jc w:val="left"/>
            </w:pPr>
            <w:r>
              <w:t xml:space="preserve">Banker-led Credit Structuring &amp; Syndicated Loan Advisory: preparation of term sheets, negotiation with Argentine commercial banks (Banco Galicia, Banco Santander Argentina, Banco de la Nación Argentina), and coordination of multi-lender facilities up to ARS 500,000,000.</w:t>
            </w:r>
          </w:p>
        </w:tc>
        <w:tc>
          <w:tcPr/>
          <w:p>
            <w:pPr>
              <w:pStyle w:val="Compact"/>
              <w:jc w:val="left"/>
            </w:pPr>
            <w:r>
              <w:t xml:space="preserve">One-time engagement (90 days)</w:t>
            </w:r>
          </w:p>
        </w:tc>
        <w:tc>
          <w:tcPr/>
          <w:p>
            <w:pPr>
              <w:pStyle w:val="Compact"/>
              <w:jc w:val="left"/>
            </w:pPr>
            <w:r>
              <w:t xml:space="preserve">4,800,000.00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Foreign Exchange Risk Management &amp; Hedging Strategy: design and implementation of forward contracts, currency options, and cross-currency swaps to protect the Client’s USD/ARS exposure in the Buenos Aires market.</w:t>
            </w:r>
          </w:p>
        </w:tc>
        <w:tc>
          <w:tcPr/>
          <w:p>
            <w:pPr>
              <w:pStyle w:val="Compact"/>
              <w:jc w:val="left"/>
            </w:pPr>
            <w:r>
              <w:t xml:space="preserve">Quarterly review (4 cycles)</w:t>
            </w:r>
          </w:p>
        </w:tc>
        <w:tc>
          <w:tcPr/>
          <w:p>
            <w:pPr>
              <w:pStyle w:val="Compact"/>
              <w:jc w:val="left"/>
            </w:pPr>
            <w:r>
              <w:t xml:space="preserve">2,100,000.00 / cycle</w:t>
            </w:r>
          </w:p>
        </w:tc>
        <w:tc>
          <w:tcPr/>
          <w:p>
            <w:pPr>
              <w:pStyle w:val="Compact"/>
              <w:jc w:val="left"/>
            </w:pPr>
            <w:r>
              <w:t xml:space="preserve">1,850.00 / cycle</w:t>
            </w:r>
          </w:p>
        </w:tc>
      </w:tr>
      <w:tr>
        <w:tc>
          <w:tcPr/>
          <w:p>
            <w:pPr>
              <w:pStyle w:val="Compact"/>
              <w:jc w:val="left"/>
            </w:pPr>
            <w:r>
              <w:t xml:space="preserve">4</w:t>
            </w:r>
          </w:p>
        </w:tc>
        <w:tc>
          <w:tcPr/>
          <w:p>
            <w:pPr>
              <w:pStyle w:val="Compact"/>
              <w:jc w:val="left"/>
            </w:pPr>
            <w:r>
              <w:t xml:space="preserve">Regulatory Compliance &amp; BCRA Reporting: preparation of mandatory reports, anti-money-laundering (AML) due diligence files, and coordination with the Unidad de Información Financiera (UIF) as required for the Client’s banking relationships in Argentina Buenos Aires.</w:t>
            </w:r>
          </w:p>
        </w:tc>
        <w:tc>
          <w:tcPr/>
          <w:p>
            <w:pPr>
              <w:pStyle w:val="Compact"/>
              <w:jc w:val="left"/>
            </w:pPr>
            <w:r>
              <w:t xml:space="preserve">Monthly retainer (12 months)</w:t>
            </w:r>
          </w:p>
        </w:tc>
        <w:tc>
          <w:tcPr/>
          <w:p>
            <w:pPr>
              <w:pStyle w:val="Compact"/>
              <w:jc w:val="left"/>
            </w:pPr>
            <w:r>
              <w:t xml:space="preserve">850,000.00 / month</w:t>
            </w:r>
          </w:p>
        </w:tc>
        <w:tc>
          <w:tcPr/>
          <w:p>
            <w:pPr>
              <w:pStyle w:val="Compact"/>
              <w:jc w:val="left"/>
            </w:pPr>
            <w:r>
              <w:t xml:space="preserve">750.00 / month</w:t>
            </w:r>
          </w:p>
        </w:tc>
      </w:tr>
      <w:tr>
        <w:tc>
          <w:tcPr/>
          <w:p>
            <w:pPr>
              <w:pStyle w:val="Compact"/>
              <w:jc w:val="left"/>
            </w:pPr>
            <w:r>
              <w:t xml:space="preserve">5</w:t>
            </w:r>
          </w:p>
        </w:tc>
        <w:tc>
          <w:tcPr/>
          <w:p>
            <w:pPr>
              <w:pStyle w:val="Compact"/>
              <w:jc w:val="left"/>
            </w:pPr>
            <w:r>
              <w:t xml:space="preserve">Capital Markets Advisory &amp; Bond Issuance Support: structuring of a local-currency (ARS) or dollar-denominated bond issuance, including investor roadshow coordination with Argentine institutional investors and listing on the Bolsa de Comercio de Buenos Aires.</w:t>
            </w:r>
          </w:p>
        </w:tc>
        <w:tc>
          <w:tcPr/>
          <w:p>
            <w:pPr>
              <w:pStyle w:val="Compact"/>
              <w:jc w:val="left"/>
            </w:pPr>
            <w:r>
              <w:t xml:space="preserve">One-time engagement (120 days)</w:t>
            </w:r>
          </w:p>
        </w:tc>
        <w:tc>
          <w:tcPr/>
          <w:p>
            <w:pPr>
              <w:pStyle w:val="Compact"/>
              <w:jc w:val="left"/>
            </w:pPr>
            <w:r>
              <w:t xml:space="preserve">7,500,000.00</w:t>
            </w:r>
          </w:p>
        </w:tc>
        <w:tc>
          <w:tcPr/>
          <w:p>
            <w:pPr>
              <w:pStyle w:val="Compact"/>
              <w:jc w:val="left"/>
            </w:pPr>
            <w:r>
              <w:t xml:space="preserve">6,600.00</w:t>
            </w:r>
          </w:p>
        </w:tc>
      </w:tr>
      <w:tr>
        <w:tc>
          <w:tcPr/>
          <w:p>
            <w:pPr>
              <w:pStyle w:val="Compact"/>
              <w:jc w:val="left"/>
            </w:pPr>
            <w:r>
              <w:t xml:space="preserve">6</w:t>
            </w:r>
          </w:p>
        </w:tc>
        <w:tc>
          <w:tcPr/>
          <w:p>
            <w:pPr>
              <w:pStyle w:val="Compact"/>
              <w:jc w:val="left"/>
            </w:pPr>
            <w:r>
              <w:t xml:space="preserve">On-site Banker Consultation &amp; Board Advisory: dedicated Banker presence at the Client’s Buenos Aires headquarters for quarterly strategic financial planning sessions, board presentations, and ad-hoc advisory (up to 8 hours per quarter).</w:t>
            </w:r>
          </w:p>
        </w:tc>
        <w:tc>
          <w:tcPr/>
          <w:p>
            <w:pPr>
              <w:pStyle w:val="Compact"/>
              <w:jc w:val="left"/>
            </w:pPr>
            <w:r>
              <w:t xml:space="preserve">Quarterly (4 sessions)</w:t>
            </w:r>
          </w:p>
        </w:tc>
        <w:tc>
          <w:tcPr/>
          <w:p>
            <w:pPr>
              <w:pStyle w:val="Compact"/>
              <w:jc w:val="left"/>
            </w:pPr>
            <w:r>
              <w:t xml:space="preserve">1,600,000.00 / session</w:t>
            </w:r>
          </w:p>
        </w:tc>
        <w:tc>
          <w:tcPr/>
          <w:p>
            <w:pPr>
              <w:pStyle w:val="Compact"/>
              <w:jc w:val="left"/>
            </w:pPr>
            <w:r>
              <w:t xml:space="preserve">1,400.00 / session</w:t>
            </w:r>
          </w:p>
        </w:tc>
      </w:tr>
      <w:tr>
        <w:tc>
          <w:tcPr/>
          <w:p>
            <w:pPr>
              <w:pStyle w:val="Compact"/>
              <w:jc w:val="left"/>
            </w:pPr>
            <w:r>
              <w:t xml:space="preserve">7</w:t>
            </w:r>
          </w:p>
        </w:tc>
        <w:tc>
          <w:tcPr/>
          <w:p>
            <w:pPr>
              <w:pStyle w:val="Compact"/>
              <w:jc w:val="left"/>
            </w:pPr>
            <w:r>
              <w:t xml:space="preserve">Travel, Logistics &amp; Administrative Support within the Buenos Aires metropolitan area (CABA and GBA) for all Banker engagements, including document courier, secure data transfer, and meeting room coordination.</w:t>
            </w:r>
          </w:p>
        </w:tc>
        <w:tc>
          <w:tcPr/>
          <w:p>
            <w:pPr>
              <w:pStyle w:val="Compact"/>
              <w:jc w:val="left"/>
            </w:pPr>
            <w:r>
              <w:t xml:space="preserve">As required (12 months)</w:t>
            </w:r>
          </w:p>
        </w:tc>
        <w:tc>
          <w:tcPr/>
          <w:p>
            <w:pPr>
              <w:pStyle w:val="Compact"/>
              <w:jc w:val="left"/>
            </w:pPr>
            <w:r>
              <w:t xml:space="preserve">450,000.00 / year</w:t>
            </w:r>
          </w:p>
        </w:tc>
        <w:tc>
          <w:tcPr/>
          <w:p>
            <w:pPr>
              <w:pStyle w:val="Compact"/>
              <w:jc w:val="left"/>
            </w:pPr>
            <w:r>
              <w:t xml:space="preserve">400.00 / year</w:t>
            </w:r>
          </w:p>
        </w:tc>
      </w:tr>
    </w:tbl>
    <w:bookmarkEnd w:id="22"/>
    <w:bookmarkStart w:id="23" w:name="summary-of-quotation-estimate-totals"/>
    <w:p>
      <w:pPr>
        <w:pStyle w:val="Heading2"/>
      </w:pPr>
      <w:r>
        <w:t xml:space="preserve">3. Summary of Quotation Estimate Totals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Component</w:t>
            </w:r>
          </w:p>
        </w:tc>
        <w:tc>
          <w:tcPr/>
          <w:p>
            <w:pPr>
              <w:pStyle w:val="Compact"/>
              <w:jc w:val="left"/>
            </w:pPr>
            <w:r>
              <w:t xml:space="preserve">Amount (ARS)</w:t>
            </w:r>
          </w:p>
        </w:tc>
        <w:tc>
          <w:tcPr/>
          <w:p>
            <w:pPr>
              <w:pStyle w:val="Compact"/>
              <w:jc w:val="left"/>
            </w:pPr>
            <w:r>
              <w:t xml:space="preserve">Amount (USD)</w:t>
            </w:r>
          </w:p>
        </w:tc>
      </w:tr>
      <w:tr>
        <w:tc>
          <w:tcPr/>
          <w:p>
            <w:pPr>
              <w:pStyle w:val="Compact"/>
              <w:jc w:val="left"/>
            </w:pPr>
            <w:r>
              <w:t xml:space="preserve">Monthly Retainers (Items 1 &amp; 4) — 12 months</w:t>
            </w:r>
          </w:p>
        </w:tc>
        <w:tc>
          <w:tcPr/>
          <w:p>
            <w:pPr>
              <w:pStyle w:val="Compact"/>
              <w:jc w:val="left"/>
            </w:pPr>
            <w:r>
              <w:t xml:space="preserve">25,200,000.00</w:t>
            </w:r>
          </w:p>
        </w:tc>
        <w:tc>
          <w:tcPr/>
          <w:p>
            <w:pPr>
              <w:pStyle w:val="Compact"/>
              <w:jc w:val="left"/>
            </w:pPr>
            <w:r>
              <w:t xml:space="preserve">22,200.00</w:t>
            </w:r>
          </w:p>
        </w:tc>
      </w:tr>
      <w:tr>
        <w:tc>
          <w:tcPr/>
          <w:p>
            <w:pPr>
              <w:pStyle w:val="Compact"/>
              <w:jc w:val="left"/>
            </w:pPr>
            <w:r>
              <w:t xml:space="preserve">One-Time Engagements (Items 2 &amp; 5)</w:t>
            </w:r>
          </w:p>
        </w:tc>
        <w:tc>
          <w:tcPr/>
          <w:p>
            <w:pPr>
              <w:pStyle w:val="Compact"/>
              <w:jc w:val="left"/>
            </w:pPr>
            <w:r>
              <w:t xml:space="preserve">12,300,000.00</w:t>
            </w:r>
          </w:p>
        </w:tc>
        <w:tc>
          <w:tcPr/>
          <w:p>
            <w:pPr>
              <w:pStyle w:val="Compact"/>
              <w:jc w:val="left"/>
            </w:pPr>
            <w:r>
              <w:t xml:space="preserve">10,800.00</w:t>
            </w:r>
          </w:p>
        </w:tc>
      </w:tr>
      <w:tr>
        <w:tc>
          <w:tcPr/>
          <w:p>
            <w:pPr>
              <w:pStyle w:val="Compact"/>
              <w:jc w:val="left"/>
            </w:pPr>
            <w:r>
              <w:t xml:space="preserve">Quarterly Services (Items 3 &amp; 6) — 4 cycles</w:t>
            </w:r>
          </w:p>
        </w:tc>
        <w:tc>
          <w:tcPr/>
          <w:p>
            <w:pPr>
              <w:pStyle w:val="Compact"/>
              <w:jc w:val="left"/>
            </w:pPr>
            <w:r>
              <w:t xml:space="preserve">14,800,000.00</w:t>
            </w:r>
          </w:p>
        </w:tc>
        <w:tc>
          <w:tcPr/>
          <w:p>
            <w:pPr>
              <w:pStyle w:val="Compact"/>
              <w:jc w:val="left"/>
            </w:pPr>
            <w:r>
              <w:t xml:space="preserve">13,000.00</w:t>
            </w:r>
          </w:p>
        </w:tc>
      </w:tr>
      <w:tr>
        <w:tc>
          <w:tcPr/>
          <w:p>
            <w:pPr>
              <w:pStyle w:val="Compact"/>
              <w:jc w:val="left"/>
            </w:pPr>
            <w:r>
              <w:t xml:space="preserve">Travel &amp; Administrative (Item 7)</w:t>
            </w:r>
          </w:p>
        </w:tc>
        <w:tc>
          <w:tcPr/>
          <w:p>
            <w:pPr>
              <w:pStyle w:val="Compact"/>
              <w:jc w:val="left"/>
            </w:pPr>
            <w:r>
              <w:t xml:space="preserve">450,000.00</w:t>
            </w:r>
          </w:p>
        </w:tc>
        <w:tc>
          <w:tcPr/>
          <w:p>
            <w:pPr>
              <w:pStyle w:val="Compact"/>
              <w:jc w:val="left"/>
            </w:pPr>
            <w:r>
              <w:t xml:space="preserve">400.00</w:t>
            </w:r>
          </w:p>
        </w:tc>
      </w:tr>
      <w:tr>
        <w:tc>
          <w:tcPr/>
          <w:p>
            <w:pPr>
              <w:pStyle w:val="Compact"/>
              <w:jc w:val="left"/>
            </w:pPr>
            <w:r>
              <w:t xml:space="preserve">Subtotal</w:t>
            </w:r>
          </w:p>
        </w:tc>
        <w:tc>
          <w:tcPr/>
          <w:p>
            <w:pPr>
              <w:pStyle w:val="Compact"/>
              <w:jc w:val="left"/>
            </w:pPr>
            <w:r>
              <w:t xml:space="preserve">52,750,000.00</w:t>
            </w:r>
          </w:p>
        </w:tc>
        <w:tc>
          <w:tcPr/>
          <w:p>
            <w:pPr>
              <w:pStyle w:val="Compact"/>
              <w:jc w:val="left"/>
            </w:pPr>
            <w:r>
              <w:t xml:space="preserve">46,400.00</w:t>
            </w:r>
          </w:p>
        </w:tc>
      </w:tr>
      <w:tr>
        <w:tc>
          <w:tcPr/>
          <w:p>
            <w:pPr>
              <w:pStyle w:val="Compact"/>
              <w:jc w:val="left"/>
            </w:pPr>
            <w:r>
              <w:t xml:space="preserve">Applicable IVA (21% — Argentine Value Added Tax)</w:t>
            </w:r>
          </w:p>
        </w:tc>
        <w:tc>
          <w:tcPr/>
          <w:p>
            <w:pPr>
              <w:pStyle w:val="Compact"/>
              <w:jc w:val="left"/>
            </w:pPr>
            <w:r>
              <w:t xml:space="preserve">11,077,500.00</w:t>
            </w:r>
          </w:p>
        </w:tc>
        <w:tc>
          <w:tcPr/>
          <w:p>
            <w:pPr>
              <w:pStyle w:val="Compact"/>
              <w:jc w:val="left"/>
            </w:pPr>
            <w:r>
              <w:t xml:space="preserve">9,744.00</w:t>
            </w:r>
          </w:p>
        </w:tc>
      </w:tr>
      <w:tr>
        <w:tc>
          <w:tcPr/>
          <w:p>
            <w:pPr>
              <w:pStyle w:val="Compact"/>
              <w:jc w:val="left"/>
            </w:pPr>
            <w:r>
              <w:t xml:space="preserve">GRAND TOTAL — Quotation Estimate</w:t>
            </w:r>
          </w:p>
        </w:tc>
        <w:tc>
          <w:tcPr/>
          <w:p>
            <w:pPr>
              <w:pStyle w:val="Compact"/>
              <w:jc w:val="left"/>
            </w:pPr>
            <w:r>
              <w:t xml:space="preserve">63,827,500.00 ARS</w:t>
            </w:r>
          </w:p>
        </w:tc>
        <w:tc>
          <w:tcPr/>
          <w:p>
            <w:pPr>
              <w:pStyle w:val="Compact"/>
              <w:jc w:val="left"/>
            </w:pPr>
            <w:r>
              <w:t xml:space="preserve">56,144.00 USD</w:t>
            </w:r>
          </w:p>
        </w:tc>
      </w:tr>
    </w:tbl>
    <w:bookmarkEnd w:id="23"/>
    <w:bookmarkStart w:id="24" w:name="X985eb999f0cfcda5f1af1a675bf0b7c2e0a6c64"/>
    <w:p>
      <w:pPr>
        <w:pStyle w:val="Heading2"/>
      </w:pPr>
      <w:r>
        <w:t xml:space="preserve">4. Terms and Conditions of This Quotation Estimate</w:t>
      </w:r>
    </w:p>
    <w:p>
      <w:pPr>
        <w:pStyle w:val="FirstParagraph"/>
      </w:pPr>
      <w:r>
        <w:rPr>
          <w:bCs/>
          <w:b/>
        </w:rPr>
        <w:t xml:space="preserve">4.1 Validity:</w:t>
      </w:r>
      <w:r>
        <w:t xml:space="preserve"> </w:t>
      </w:r>
      <w:r>
        <w:t xml:space="preserve">This Quotation Estimate shall remain valid for a period of thirty (30) calendar days from the date of issue. Beyond this period, the Banker reserves the right to revise fees due to market fluctuations in the Argentine financial sector, changes in BCRA regulations, or shifts in the USD/ARS exchange rate.</w:t>
      </w:r>
    </w:p>
    <w:p>
      <w:pPr>
        <w:pStyle w:val="BodyText"/>
      </w:pPr>
      <w:r>
        <w:rPr>
          <w:bCs/>
          <w:b/>
        </w:rPr>
        <w:t xml:space="preserve">4.2 Payment Terms:</w:t>
      </w:r>
      <w:r>
        <w:t xml:space="preserve"> </w:t>
      </w:r>
      <w:r>
        <w:t xml:space="preserve">Invoices shall be issued monthly for retainer-based services and upon milestone completion for one-time engagements. Payment is due within fifteen (15) calendar days of invoice date via bank transfer to the account designated by the Banker at Banco de la Nación Argentina, Sucursal Buenos Aires. Late payments shall accrue interest at the BCRA reference rate plus 2% per month.</w:t>
      </w:r>
    </w:p>
    <w:p>
      <w:pPr>
        <w:pStyle w:val="BodyText"/>
      </w:pPr>
      <w:r>
        <w:rPr>
          <w:bCs/>
          <w:b/>
        </w:rPr>
        <w:t xml:space="preserve">4.3 Currency &amp; Exchange:</w:t>
      </w:r>
      <w:r>
        <w:t xml:space="preserve"> </w:t>
      </w:r>
      <w:r>
        <w:t xml:space="preserve">Fees quoted in USD shall be converted to ARS at the official BCRA exchange rate prevailing on the date of invoice issuance. The Client acknowledges that the Argentine peso is subject to devaluation risk, and the Banker is not liable for exchange-rate-driven cost variations.</w:t>
      </w:r>
    </w:p>
    <w:p>
      <w:pPr>
        <w:pStyle w:val="BodyText"/>
      </w:pPr>
      <w:r>
        <w:rPr>
          <w:bCs/>
          <w:b/>
        </w:rPr>
        <w:t xml:space="preserve">4.4 Confidentiality:</w:t>
      </w:r>
      <w:r>
        <w:t xml:space="preserve"> </w:t>
      </w:r>
      <w:r>
        <w:t xml:space="preserve">The Banker shall maintain strict confidentiality over all financial data, transaction records, and strategic information provided by the Client in Argentina Buenos Aires, in compliance with Argentine data protection law (Ley 25.326) and professional banking secrecy obligations.</w:t>
      </w:r>
    </w:p>
    <w:p>
      <w:pPr>
        <w:pStyle w:val="BodyText"/>
      </w:pPr>
      <w:r>
        <w:rPr>
          <w:bCs/>
          <w:b/>
        </w:rPr>
        <w:t xml:space="preserve">4.5 Professional Liability:</w:t>
      </w:r>
      <w:r>
        <w:t xml:space="preserve"> </w:t>
      </w:r>
      <w:r>
        <w:t xml:space="preserve">The Banker’s liability under this Quotation Estimate shall be limited to the total fees paid by the Client. The Banker acts in an advisory capacity and does not guarantee investment returns, loan approvals, or regulatory outcomes.</w:t>
      </w:r>
    </w:p>
    <w:p>
      <w:pPr>
        <w:pStyle w:val="BodyText"/>
      </w:pPr>
      <w:r>
        <w:rPr>
          <w:bCs/>
          <w:b/>
        </w:rPr>
        <w:t xml:space="preserve">4.6 Governing Law &amp; Jurisdiction:</w:t>
      </w:r>
      <w:r>
        <w:t xml:space="preserve"> </w:t>
      </w:r>
      <w:r>
        <w:t xml:space="preserve">This Quotation Estimate and any resulting engagement shall be governed by the laws of the Argentine Republic. Any disputes shall be resolved by the competent commercial courts of the City of Buenos Aires, Argentina.</w:t>
      </w:r>
    </w:p>
    <w:p>
      <w:pPr>
        <w:pStyle w:val="BodyText"/>
      </w:pPr>
      <w:r>
        <w:rPr>
          <w:bCs/>
          <w:b/>
        </w:rPr>
        <w:t xml:space="preserve">4.7 Acceptance:</w:t>
      </w:r>
      <w:r>
        <w:t xml:space="preserve"> </w:t>
      </w:r>
      <w:r>
        <w:t xml:space="preserve">This Quotation Estimate becomes a binding contract upon written acceptance by both parties. The Client’s signature below constitutes full and unconditional acceptance of all terms, fees, and conditions set forth herein.</w:t>
      </w:r>
    </w:p>
    <w:bookmarkEnd w:id="24"/>
    <w:bookmarkStart w:id="25" w:name="acceptance-signatures"/>
    <w:p>
      <w:pPr>
        <w:pStyle w:val="Heading2"/>
      </w:pPr>
      <w:r>
        <w:t xml:space="preserve">5. Acceptance &amp; Signatures</w:t>
      </w:r>
    </w:p>
    <w:p>
      <w:pPr>
        <w:pStyle w:val="FirstParagraph"/>
      </w:pPr>
      <w:r>
        <w:rPr>
          <w:bCs/>
          <w:b/>
        </w:rPr>
        <w:t xml:space="preserve">For the Banker (Service Provider):</w:t>
      </w:r>
    </w:p>
    <w:p>
      <w:pPr>
        <w:pStyle w:val="BodyText"/>
      </w:pPr>
      <w:r>
        <w:t xml:space="preserve">Señor Ricardo A. Monteverde, CFA</w:t>
      </w:r>
    </w:p>
    <w:p>
      <w:pPr>
        <w:pStyle w:val="BodyText"/>
      </w:pPr>
      <w:r>
        <w:t xml:space="preserve">Senior Banker &amp; Financial Advisor</w:t>
      </w:r>
    </w:p>
    <w:p>
      <w:pPr>
        <w:pStyle w:val="BodyText"/>
      </w:pPr>
      <w:r>
        <w:t xml:space="preserve">Monteverde &amp; Asociados S.A.</w:t>
      </w:r>
    </w:p>
    <w:p>
      <w:pPr>
        <w:pStyle w:val="BodyText"/>
      </w:pPr>
      <w:r>
        <w:t xml:space="preserve">Signature &amp; Date</w:t>
      </w:r>
    </w:p>
    <w:p>
      <w:pPr>
        <w:pStyle w:val="BodyText"/>
      </w:pPr>
      <w:r>
        <w:rPr>
          <w:bCs/>
          <w:b/>
        </w:rPr>
        <w:t xml:space="preserve">For the Client (Recipient):</w:t>
      </w:r>
    </w:p>
    <w:p>
      <w:pPr>
        <w:pStyle w:val="BodyText"/>
      </w:pPr>
      <w:r>
        <w:t xml:space="preserve">Grupo Industrial del Plata S.A.</w:t>
      </w:r>
    </w:p>
    <w:p>
      <w:pPr>
        <w:pStyle w:val="BodyText"/>
      </w:pPr>
      <w:r>
        <w:t xml:space="preserve">Authorized Representative</w:t>
      </w:r>
    </w:p>
    <w:p>
      <w:pPr>
        <w:pStyle w:val="BodyText"/>
      </w:pPr>
      <w:r>
        <w:t xml:space="preserve">Buenos Aires, Argentina</w:t>
      </w:r>
    </w:p>
    <w:p>
      <w:pPr>
        <w:pStyle w:val="BodyText"/>
      </w:pPr>
      <w:r>
        <w:t xml:space="preserve">Signature &amp; Date</w:t>
      </w:r>
    </w:p>
    <w:p>
      <w:pPr>
        <w:pStyle w:val="BodyText"/>
      </w:pPr>
      <w:r>
        <w:t xml:space="preserve">Quotation Estimate No. QE-BK-2025-04871 — Issued in Buenos Aires, Argentina — This document is the property of Monteverde &amp; Asociados S.A. and is intended solely for the named recipient. Unauthorized reproduction or distribution is prohibited. All services are subject to the professional standards of the Argentine banking and financial advisory industry.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Argentina Buenos Aires</dc:title>
  <dc:creator/>
  <dc:language>en</dc:language>
  <cp:keywords/>
  <dcterms:created xsi:type="dcterms:W3CDTF">2026-10-10T06:55:23Z</dcterms:created>
  <dcterms:modified xsi:type="dcterms:W3CDTF">2026-10-10T06:55:23Z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