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Banker Services — Argentina, Province of Córdoba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QE-BC-2025-04782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Argentine Peso (ARS) / US Dollar (USD)</w:t>
            </w:r>
          </w:p>
        </w:tc>
      </w:tr>
      <w:tr>
        <w:tc>
          <w:tcPr/>
          <w:p>
            <w:pPr>
              <w:pStyle w:val="Compact"/>
              <w:jc w:val="left"/>
            </w:pPr>
            <w:r>
              <w:t xml:space="preserve">Service Provider:</w:t>
            </w:r>
          </w:p>
        </w:tc>
        <w:tc>
          <w:tcPr/>
          <w:p>
            <w:pPr>
              <w:pStyle w:val="Compact"/>
              <w:jc w:val="left"/>
            </w:pPr>
            <w:r>
              <w:t xml:space="preserve">Córdoba Financial Advisory Group S.A.</w:t>
            </w:r>
          </w:p>
        </w:tc>
        <w:tc>
          <w:tcPr/>
          <w:p>
            <w:pPr>
              <w:pStyle w:val="Compact"/>
              <w:jc w:val="left"/>
            </w:pPr>
            <w:r>
              <w:t xml:space="preserve">Location:</w:t>
            </w:r>
          </w:p>
        </w:tc>
        <w:tc>
          <w:tcPr/>
          <w:p>
            <w:pPr>
              <w:pStyle w:val="Compact"/>
              <w:jc w:val="left"/>
            </w:pPr>
            <w:r>
              <w:t xml:space="preserve">Av. Hipólito Yrigoyen 1250, Córdoba, Argentina</w:t>
            </w:r>
          </w:p>
        </w:tc>
      </w:tr>
      <w:tr>
        <w:tc>
          <w:tcPr/>
          <w:p>
            <w:pPr>
              <w:pStyle w:val="Compact"/>
              <w:jc w:val="left"/>
            </w:pPr>
            <w:r>
              <w:t xml:space="preserve">Client Name:</w:t>
            </w:r>
          </w:p>
        </w:tc>
        <w:tc>
          <w:tcPr/>
          <w:p>
            <w:pPr>
              <w:pStyle w:val="Compact"/>
              <w:jc w:val="left"/>
            </w:pPr>
            <w:r>
              <w:t xml:space="preserve">[Client Legal Name / Corporate Entity]</w:t>
            </w:r>
          </w:p>
        </w:tc>
        <w:tc>
          <w:tcPr/>
          <w:p>
            <w:pPr>
              <w:pStyle w:val="Compact"/>
              <w:jc w:val="left"/>
            </w:pPr>
            <w:r>
              <w:t xml:space="preserve">CUIT:</w:t>
            </w:r>
          </w:p>
        </w:tc>
        <w:tc>
          <w:tcPr/>
          <w:p>
            <w:pPr>
              <w:pStyle w:val="Compact"/>
              <w:jc w:val="left"/>
            </w:pPr>
            <w:r>
              <w:t xml:space="preserve">[30-XXXXXXXX-X]</w:t>
            </w:r>
          </w:p>
        </w:tc>
      </w:tr>
      <w:tr>
        <w:tc>
          <w:tcPr/>
          <w:p>
            <w:pPr>
              <w:pStyle w:val="Compact"/>
              <w:jc w:val="left"/>
            </w:pPr>
            <w:r>
              <w:t xml:space="preserve">Client Address:</w:t>
            </w:r>
          </w:p>
        </w:tc>
        <w:tc>
          <w:tcPr/>
          <w:p>
            <w:pPr>
              <w:pStyle w:val="Compact"/>
              <w:jc w:val="left"/>
            </w:pPr>
            <w:r>
              <w:t xml:space="preserve">[Street, City, Province of Córdoba, Argentina]</w:t>
            </w:r>
          </w:p>
        </w:tc>
        <w:tc>
          <w:tcPr/>
          <w:p>
            <w:pPr>
              <w:pStyle w:val="Compact"/>
              <w:jc w:val="left"/>
            </w:pPr>
            <w:r>
              <w:t xml:space="preserve">Contact:</w:t>
            </w:r>
          </w:p>
        </w:tc>
        <w:tc>
          <w:tcPr/>
          <w:p>
            <w:pPr>
              <w:pStyle w:val="Compact"/>
              <w:jc w:val="left"/>
            </w:pPr>
            <w:r>
              <w:t xml:space="preserve">[Phone / Email]</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Córdoba Financial Advisory Group S.A. to formally present the projected costs, fees, and professional charges associated with the engagement of a licensed</w:t>
      </w:r>
      <w:r>
        <w:t xml:space="preserve"> </w:t>
      </w:r>
      <w:r>
        <w:rPr>
          <w:bCs/>
          <w:b/>
        </w:rPr>
        <w:t xml:space="preserve">Banker</w:t>
      </w:r>
      <w:r>
        <w:t xml:space="preserve"> </w:t>
      </w:r>
      <w:r>
        <w:t xml:space="preserve">to provide comprehensive financial advisory, transactional, and operational banking services within the jurisdiction of the Province of Córdoba, Argentina. This document serves as a binding cost projection for the client to evaluate the financial commitment required for the described Banker services. All figures presented herein are estimates based on current market conditions in Argentina and are subject to the terms and conditions outlined in Section 6 of this Quotation Estimate.</w:t>
      </w:r>
    </w:p>
    <w:p>
      <w:pPr>
        <w:pStyle w:val="BodyText"/>
      </w:pPr>
      <w:r>
        <w:t xml:space="preserve">The Banker services described in this Quotation Estimate are tailored to the specific regulatory, economic, and operational environment of Córdoba, Argentina, taking into account the provisions of the Central Bank of the Argentine Republic (Banco Central de la República Argentina — BCRA), the applicable provincial tax regulations of the Province of Córdoba, and the current foreign exchange framework (MEP, CCL, and official rates) that governs financial transactions in the region.</w:t>
      </w:r>
    </w:p>
    <w:bookmarkEnd w:id="21"/>
    <w:bookmarkStart w:id="22" w:name="description-of-banker-services"/>
    <w:p>
      <w:pPr>
        <w:pStyle w:val="Heading2"/>
      </w:pPr>
      <w:r>
        <w:t xml:space="preserve">2. Description of Banker Services</w:t>
      </w:r>
    </w:p>
    <w:p>
      <w:pPr>
        <w:pStyle w:val="FirstParagraph"/>
      </w:pPr>
      <w:r>
        <w:t xml:space="preserve">The engaged Banker shall act as the primary financial representative and advisor for the client, performing the following duties within the Province of Córdoba, Argentina:</w:t>
      </w:r>
    </w:p>
    <w:p>
      <w:pPr>
        <w:numPr>
          <w:ilvl w:val="0"/>
          <w:numId w:val="1001"/>
        </w:numPr>
        <w:pStyle w:val="Compact"/>
      </w:pPr>
      <w:r>
        <w:t xml:space="preserve">Full management of corporate and personal banking accounts at authorized financial institutions operating in Córdoba.</w:t>
      </w:r>
    </w:p>
    <w:p>
      <w:pPr>
        <w:numPr>
          <w:ilvl w:val="0"/>
          <w:numId w:val="1001"/>
        </w:numPr>
        <w:pStyle w:val="Compact"/>
      </w:pPr>
      <w:r>
        <w:t xml:space="preserve">Advisory on domestic and international wire transfers, including compliance with BCRA foreign exchange regulations.</w:t>
      </w:r>
    </w:p>
    <w:p>
      <w:pPr>
        <w:numPr>
          <w:ilvl w:val="0"/>
          <w:numId w:val="1001"/>
        </w:numPr>
        <w:pStyle w:val="Compact"/>
      </w:pPr>
      <w:r>
        <w:t xml:space="preserve">Structuring and negotiation of short-term and medium-term credit facilities, trade finance instruments, and working capital solutions.</w:t>
      </w:r>
    </w:p>
    <w:p>
      <w:pPr>
        <w:numPr>
          <w:ilvl w:val="0"/>
          <w:numId w:val="1001"/>
        </w:numPr>
        <w:pStyle w:val="Compact"/>
      </w:pPr>
      <w:r>
        <w:t xml:space="preserve">Portfolio management of fixed-income instruments, including Argentine sovereign bonds (CEDEARs, BONCAP) and provincial debt instruments issued by the Province of Córdoba.</w:t>
      </w:r>
    </w:p>
    <w:p>
      <w:pPr>
        <w:numPr>
          <w:ilvl w:val="0"/>
          <w:numId w:val="1001"/>
        </w:numPr>
        <w:pStyle w:val="Compact"/>
      </w:pPr>
      <w:r>
        <w:t xml:space="preserve">Compliance with anti-money laundering (AML) obligations under Argentine Law 25.232 and its amendments.</w:t>
      </w:r>
    </w:p>
    <w:p>
      <w:pPr>
        <w:numPr>
          <w:ilvl w:val="0"/>
          <w:numId w:val="1001"/>
        </w:numPr>
        <w:pStyle w:val="Compact"/>
      </w:pPr>
      <w:r>
        <w:t xml:space="preserve">Monthly and quarterly financial reporting, cash flow forecasting, and liquidity planning specific to the Córdoba business environment.</w:t>
      </w:r>
    </w:p>
    <w:p>
      <w:pPr>
        <w:numPr>
          <w:ilvl w:val="0"/>
          <w:numId w:val="1001"/>
        </w:numPr>
        <w:pStyle w:val="Compact"/>
      </w:pPr>
      <w:r>
        <w:t xml:space="preserve">Coordination with the Córdoba provincial tax authority (Dirección General de Ingresos Públicos — DGIP) for tax-related banking 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Banker Service</w:t>
            </w:r>
          </w:p>
        </w:tc>
        <w:tc>
          <w:tcPr/>
          <w:p>
            <w:pPr>
              <w:pStyle w:val="Compact"/>
              <w:jc w:val="left"/>
            </w:pPr>
            <w:r>
              <w:t xml:space="preserve">Frequency</w:t>
            </w:r>
          </w:p>
        </w:tc>
        <w:tc>
          <w:tcPr/>
          <w:p>
            <w:pPr>
              <w:pStyle w:val="Compact"/>
              <w:jc w:val="left"/>
            </w:pPr>
            <w:r>
              <w:t xml:space="preserve">Estimated Cost (ARS)</w:t>
            </w:r>
          </w:p>
        </w:tc>
        <w:tc>
          <w:tcPr/>
          <w:p>
            <w:pPr>
              <w:pStyle w:val="Compact"/>
              <w:jc w:val="left"/>
            </w:pPr>
            <w:r>
              <w:t xml:space="preserve">Estimated Cost (USD)</w:t>
            </w:r>
          </w:p>
        </w:tc>
      </w:tr>
      <w:tr>
        <w:tc>
          <w:tcPr/>
          <w:p>
            <w:pPr>
              <w:pStyle w:val="Compact"/>
              <w:jc w:val="left"/>
            </w:pPr>
            <w:r>
              <w:t xml:space="preserve">01</w:t>
            </w:r>
          </w:p>
        </w:tc>
        <w:tc>
          <w:tcPr/>
          <w:p>
            <w:pPr>
              <w:pStyle w:val="Compact"/>
              <w:jc w:val="left"/>
            </w:pPr>
            <w:r>
              <w:t xml:space="preserve">Monthly professional fee for the Banker’s advisory and account management services in Córdoba</w:t>
            </w:r>
          </w:p>
        </w:tc>
        <w:tc>
          <w:tcPr/>
          <w:p>
            <w:pPr>
              <w:pStyle w:val="Compact"/>
              <w:jc w:val="left"/>
            </w:pPr>
            <w:r>
              <w:t xml:space="preserve">Monthly</w:t>
            </w:r>
          </w:p>
        </w:tc>
        <w:tc>
          <w:tcPr/>
          <w:p>
            <w:pPr>
              <w:pStyle w:val="Compact"/>
              <w:jc w:val="left"/>
            </w:pPr>
            <w:r>
              <w:t xml:space="preserve">185,000.00</w:t>
            </w:r>
          </w:p>
        </w:tc>
        <w:tc>
          <w:tcPr/>
          <w:p>
            <w:pPr>
              <w:pStyle w:val="Compact"/>
              <w:jc w:val="left"/>
            </w:pPr>
            <w:r>
              <w:t xml:space="preserve">145.00</w:t>
            </w:r>
          </w:p>
        </w:tc>
      </w:tr>
      <w:tr>
        <w:tc>
          <w:tcPr/>
          <w:p>
            <w:pPr>
              <w:pStyle w:val="Compact"/>
              <w:jc w:val="left"/>
            </w:pPr>
            <w:r>
              <w:t xml:space="preserve">02</w:t>
            </w:r>
          </w:p>
        </w:tc>
        <w:tc>
          <w:tcPr/>
          <w:p>
            <w:pPr>
              <w:pStyle w:val="Compact"/>
              <w:jc w:val="left"/>
            </w:pPr>
            <w:r>
              <w:t xml:space="preserve">Initial onboarding, account opening, and regulatory compliance setup at a Córdoba-based bank</w:t>
            </w:r>
          </w:p>
        </w:tc>
        <w:tc>
          <w:tcPr/>
          <w:p>
            <w:pPr>
              <w:pStyle w:val="Compact"/>
              <w:jc w:val="left"/>
            </w:pPr>
            <w:r>
              <w:t xml:space="preserve">One-time</w:t>
            </w:r>
          </w:p>
        </w:tc>
        <w:tc>
          <w:tcPr/>
          <w:p>
            <w:pPr>
              <w:pStyle w:val="Compact"/>
              <w:jc w:val="left"/>
            </w:pPr>
            <w:r>
              <w:t xml:space="preserve">95,000.00</w:t>
            </w:r>
          </w:p>
        </w:tc>
        <w:tc>
          <w:tcPr/>
          <w:p>
            <w:pPr>
              <w:pStyle w:val="Compact"/>
              <w:jc w:val="left"/>
            </w:pPr>
            <w:r>
              <w:t xml:space="preserve">75.00</w:t>
            </w:r>
          </w:p>
        </w:tc>
      </w:tr>
      <w:tr>
        <w:tc>
          <w:tcPr/>
          <w:p>
            <w:pPr>
              <w:pStyle w:val="Compact"/>
              <w:jc w:val="left"/>
            </w:pPr>
            <w:r>
              <w:t xml:space="preserve">03</w:t>
            </w:r>
          </w:p>
        </w:tc>
        <w:tc>
          <w:tcPr/>
          <w:p>
            <w:pPr>
              <w:pStyle w:val="Compact"/>
              <w:jc w:val="left"/>
            </w:pPr>
            <w:r>
              <w:t xml:space="preserve">Credit facility structuring and negotiation (per transaction, up to ARS 50,000,000)</w:t>
            </w:r>
          </w:p>
        </w:tc>
        <w:tc>
          <w:tcPr/>
          <w:p>
            <w:pPr>
              <w:pStyle w:val="Compact"/>
              <w:jc w:val="left"/>
            </w:pPr>
            <w:r>
              <w:t xml:space="preserve">Per transaction</w:t>
            </w:r>
          </w:p>
        </w:tc>
        <w:tc>
          <w:tcPr/>
          <w:p>
            <w:pPr>
              <w:pStyle w:val="Compact"/>
              <w:jc w:val="left"/>
            </w:pPr>
            <w:r>
              <w:t xml:space="preserve">120,000.00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Foreign exchange advisory and international transfer coordination (per operation)</w:t>
            </w:r>
          </w:p>
        </w:tc>
        <w:tc>
          <w:tcPr/>
          <w:p>
            <w:pPr>
              <w:pStyle w:val="Compact"/>
              <w:jc w:val="left"/>
            </w:pPr>
            <w:r>
              <w:t xml:space="preserve">Per operation</w:t>
            </w:r>
          </w:p>
        </w:tc>
        <w:tc>
          <w:tcPr/>
          <w:p>
            <w:pPr>
              <w:pStyle w:val="Compact"/>
              <w:jc w:val="left"/>
            </w:pPr>
            <w:r>
              <w:t xml:space="preserve">45,000.00</w:t>
            </w:r>
          </w:p>
        </w:tc>
        <w:tc>
          <w:tcPr/>
          <w:p>
            <w:pPr>
              <w:pStyle w:val="Compact"/>
              <w:jc w:val="left"/>
            </w:pPr>
            <w:r>
              <w:t xml:space="preserve">35.50</w:t>
            </w:r>
          </w:p>
        </w:tc>
      </w:tr>
      <w:tr>
        <w:tc>
          <w:tcPr/>
          <w:p>
            <w:pPr>
              <w:pStyle w:val="Compact"/>
              <w:jc w:val="left"/>
            </w:pPr>
            <w:r>
              <w:t xml:space="preserve">05</w:t>
            </w:r>
          </w:p>
        </w:tc>
        <w:tc>
          <w:tcPr/>
          <w:p>
            <w:pPr>
              <w:pStyle w:val="Compact"/>
              <w:jc w:val="left"/>
            </w:pPr>
            <w:r>
              <w:t xml:space="preserve">Quarterly portfolio review and investment strategy session in Córdoba</w:t>
            </w:r>
          </w:p>
        </w:tc>
        <w:tc>
          <w:tcPr/>
          <w:p>
            <w:pPr>
              <w:pStyle w:val="Compact"/>
              <w:jc w:val="left"/>
            </w:pPr>
            <w:r>
              <w:t xml:space="preserve">Quarterly</w:t>
            </w:r>
          </w:p>
        </w:tc>
        <w:tc>
          <w:tcPr/>
          <w:p>
            <w:pPr>
              <w:pStyle w:val="Compact"/>
              <w:jc w:val="left"/>
            </w:pPr>
            <w:r>
              <w:t xml:space="preserve">78,000.00</w:t>
            </w:r>
          </w:p>
        </w:tc>
        <w:tc>
          <w:tcPr/>
          <w:p>
            <w:pPr>
              <w:pStyle w:val="Compact"/>
              <w:jc w:val="left"/>
            </w:pPr>
            <w:r>
              <w:t xml:space="preserve">61.50</w:t>
            </w:r>
          </w:p>
        </w:tc>
      </w:tr>
      <w:tr>
        <w:tc>
          <w:tcPr/>
          <w:p>
            <w:pPr>
              <w:pStyle w:val="Compact"/>
              <w:jc w:val="left"/>
            </w:pPr>
            <w:r>
              <w:t xml:space="preserve">06</w:t>
            </w:r>
          </w:p>
        </w:tc>
        <w:tc>
          <w:tcPr/>
          <w:p>
            <w:pPr>
              <w:pStyle w:val="Compact"/>
              <w:jc w:val="left"/>
            </w:pPr>
            <w:r>
              <w:t xml:space="preserve">AML compliance reporting and regulatory liaison with BCRA and DGIP Córdoba</w:t>
            </w:r>
          </w:p>
        </w:tc>
        <w:tc>
          <w:tcPr/>
          <w:p>
            <w:pPr>
              <w:pStyle w:val="Compact"/>
              <w:jc w:val="left"/>
            </w:pPr>
            <w:r>
              <w:t xml:space="preserve">Monthly</w:t>
            </w:r>
          </w:p>
        </w:tc>
        <w:tc>
          <w:tcPr/>
          <w:p>
            <w:pPr>
              <w:pStyle w:val="Compact"/>
              <w:jc w:val="left"/>
            </w:pPr>
            <w:r>
              <w:t xml:space="preserve">52,000.00</w:t>
            </w:r>
          </w:p>
        </w:tc>
        <w:tc>
          <w:tcPr/>
          <w:p>
            <w:pPr>
              <w:pStyle w:val="Compact"/>
              <w:jc w:val="left"/>
            </w:pPr>
            <w:r>
              <w:t xml:space="preserve">41.00</w:t>
            </w:r>
          </w:p>
        </w:tc>
      </w:tr>
      <w:tr>
        <w:tc>
          <w:tcPr/>
          <w:p>
            <w:pPr>
              <w:pStyle w:val="Compact"/>
              <w:jc w:val="left"/>
            </w:pPr>
            <w:r>
              <w:t xml:space="preserve">07</w:t>
            </w:r>
          </w:p>
        </w:tc>
        <w:tc>
          <w:tcPr/>
          <w:p>
            <w:pPr>
              <w:pStyle w:val="Compact"/>
              <w:jc w:val="left"/>
            </w:pPr>
            <w:r>
              <w:t xml:space="preserve">Annual financial audit support and year-end banking reconciliation</w:t>
            </w:r>
          </w:p>
        </w:tc>
        <w:tc>
          <w:tcPr/>
          <w:p>
            <w:pPr>
              <w:pStyle w:val="Compact"/>
              <w:jc w:val="left"/>
            </w:pPr>
            <w:r>
              <w:t xml:space="preserve">Annual</w:t>
            </w:r>
          </w:p>
        </w:tc>
        <w:tc>
          <w:tcPr/>
          <w:p>
            <w:pPr>
              <w:pStyle w:val="Compact"/>
              <w:jc w:val="left"/>
            </w:pPr>
            <w:r>
              <w:t xml:space="preserve">210,000.00</w:t>
            </w:r>
          </w:p>
        </w:tc>
        <w:tc>
          <w:tcPr/>
          <w:p>
            <w:pPr>
              <w:pStyle w:val="Compact"/>
              <w:jc w:val="left"/>
            </w:pPr>
            <w:r>
              <w:t xml:space="preserve">165.00</w:t>
            </w:r>
          </w:p>
        </w:tc>
      </w:tr>
      <w:tr>
        <w:tc>
          <w:tcPr>
            <w:gridSpan w:val="3"/>
          </w:tcPr>
          <w:p>
            <w:pPr>
              <w:pStyle w:val="Compact"/>
              <w:jc w:val="left"/>
            </w:pPr>
            <w:r>
              <w:t xml:space="preserve">Estimated Annual Total (12 months of service)</w:t>
            </w:r>
          </w:p>
        </w:tc>
        <w:tc>
          <w:tcPr/>
          <w:p>
            <w:pPr>
              <w:pStyle w:val="Compact"/>
              <w:jc w:val="left"/>
            </w:pPr>
            <w:r>
              <w:t xml:space="preserve">3,462,000.00</w:t>
            </w:r>
          </w:p>
        </w:tc>
        <w:tc>
          <w:tcPr/>
          <w:p>
            <w:pPr>
              <w:pStyle w:val="Compact"/>
              <w:jc w:val="left"/>
            </w:pPr>
            <w:r>
              <w:t xml:space="preserve">2,725.00</w:t>
            </w:r>
          </w:p>
        </w:tc>
      </w:tr>
    </w:tbl>
    <w:p>
      <w:pPr>
        <w:pStyle w:val="BodyText"/>
      </w:pPr>
      <w:r>
        <w:t xml:space="preserve">* USD conversions are indicative and based on the official BCRA rate as of the date of this Quotation Estimate. Final settlement in USD, if applicable, shall be at the prevailing MEP rate on the transaction date. All ARS amounts are exclusive of applicable IVA (21%) and provincial taxes of Córdoba.</w:t>
      </w:r>
    </w:p>
    <w:bookmarkEnd w:id="23"/>
    <w:bookmarkStart w:id="24" w:name="payment-terms"/>
    <w:p>
      <w:pPr>
        <w:pStyle w:val="Heading2"/>
      </w:pPr>
      <w:r>
        <w:t xml:space="preserve">4. Payment Terms</w:t>
      </w:r>
    </w:p>
    <w:p>
      <w:pPr>
        <w:pStyle w:val="FirstParagraph"/>
      </w:pPr>
      <w:r>
        <w:t xml:space="preserve">Payment for the Banker services outlined in this Quotation Estimate shall be made via electronic bank transfer (DEBIT/CRÉDITO) to the account of Córdoba Financial Advisory Group S.A. held at Banco de la Nación Argentina, Sucursal Córdoba. Invoices shall be issued monthly in advance. A 5% late-payment penalty, calculated on a daily basis, shall apply to any overdue balance in accordance with Argentine commercial law (Código Comercial de la Nación, Art. 698).</w:t>
      </w:r>
    </w:p>
    <w:bookmarkEnd w:id="24"/>
    <w:bookmarkStart w:id="25" w:name="assumptions-and-exclusions"/>
    <w:p>
      <w:pPr>
        <w:pStyle w:val="Heading2"/>
      </w:pPr>
      <w:r>
        <w:t xml:space="preserve">5. Assumptions and Exclusions</w:t>
      </w:r>
    </w:p>
    <w:p>
      <w:pPr>
        <w:numPr>
          <w:ilvl w:val="0"/>
          <w:numId w:val="1002"/>
        </w:numPr>
        <w:pStyle w:val="Compact"/>
      </w:pPr>
      <w:r>
        <w:t xml:space="preserve">This Quotation Estimate assumes standard business operations within the Province of Córdoba and does not include extraordinary legal proceedings, litigation support, or services outside the Córdoba metropolitan area unless separately agreed in writing.</w:t>
      </w:r>
    </w:p>
    <w:p>
      <w:pPr>
        <w:numPr>
          <w:ilvl w:val="0"/>
          <w:numId w:val="1002"/>
        </w:numPr>
        <w:pStyle w:val="Compact"/>
      </w:pPr>
      <w:r>
        <w:t xml:space="preserve">Banker fees are exclusive of third-party bank charges, notary fees, registration costs, and any applicable stamp taxes (tasa de timbra) levied by the Province of Córdoba.</w:t>
      </w:r>
    </w:p>
    <w:p>
      <w:pPr>
        <w:numPr>
          <w:ilvl w:val="0"/>
          <w:numId w:val="1002"/>
        </w:numPr>
        <w:pStyle w:val="Compact"/>
      </w:pPr>
      <w:r>
        <w:t xml:space="preserve">Exchange rate fluctuations exceeding 10% from the rate referenced in this document may trigger a renegotiation clause for USD-denominated fees.</w:t>
      </w:r>
    </w:p>
    <w:p>
      <w:pPr>
        <w:numPr>
          <w:ilvl w:val="0"/>
          <w:numId w:val="1002"/>
        </w:numPr>
        <w:pStyle w:val="Compact"/>
      </w:pPr>
      <w:r>
        <w:t xml:space="preserve">The Banker’s engagement is subject to the client’s satisfactory completion of the Know Your Customer (KYC) and AML verification process required by Argentine financial regulations.</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Upon expiration, all fees and rates must be reconfirmed in writing.</w:t>
      </w:r>
    </w:p>
    <w:p>
      <w:pPr>
        <w:numPr>
          <w:ilvl w:val="0"/>
          <w:numId w:val="1003"/>
        </w:numPr>
        <w:pStyle w:val="Compact"/>
      </w:pPr>
      <w:r>
        <w:t xml:space="preserve">Acceptance of this Quotation Estimate constitutes a binding agreement for the Banker services described herein, governed by the laws of the Argentine Nation and the Province of Córdoba.</w:t>
      </w:r>
    </w:p>
    <w:p>
      <w:pPr>
        <w:numPr>
          <w:ilvl w:val="0"/>
          <w:numId w:val="1003"/>
        </w:numPr>
        <w:pStyle w:val="Compact"/>
      </w:pPr>
      <w:r>
        <w:t xml:space="preserve">Either party may terminate the engagement with thirty (30) days’ written notice. In such case, a pro-rata fee for the current month shall be due.</w:t>
      </w:r>
    </w:p>
    <w:p>
      <w:pPr>
        <w:numPr>
          <w:ilvl w:val="0"/>
          <w:numId w:val="1003"/>
        </w:numPr>
        <w:pStyle w:val="Compact"/>
      </w:pPr>
      <w:r>
        <w:t xml:space="preserve">All disputes arising from this Quotation Estimate and the subsequent Banker services agreement shall be resolved by the competent commercial courts of the city of Córdoba, Province of Córdoba, Argentina.</w:t>
      </w:r>
    </w:p>
    <w:p>
      <w:pPr>
        <w:numPr>
          <w:ilvl w:val="0"/>
          <w:numId w:val="1003"/>
        </w:numPr>
        <w:pStyle w:val="Compact"/>
      </w:pPr>
      <w:r>
        <w:t xml:space="preserve">The Banker shall maintain professional liability insurance with a minimum coverage of ARS 10,000,000, valid throughout the term of the engagement in Córdoba.</w:t>
      </w:r>
    </w:p>
    <w:p>
      <w:pPr>
        <w:numPr>
          <w:ilvl w:val="0"/>
          <w:numId w:val="1003"/>
        </w:numPr>
        <w:pStyle w:val="Compact"/>
      </w:pPr>
      <w:r>
        <w:t xml:space="preserve">Confidentiality obligations under Argentine Law 25.326 (Data Protection) and the BCRA’s banking secrecy regulations shall apply to all client information handled by the Banker.</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Banker services in Argentina, Córdoba, and agrees to the terms, conditions, and estimated costs presented herein. This signature does not constitute a final contract but serves as a formal acceptance of the cost projection for budgetary and planning purposes.</w:t>
      </w:r>
    </w:p>
    <w:p>
      <w:pPr>
        <w:pStyle w:val="BodyText"/>
      </w:pPr>
      <w:r>
        <w:rPr>
          <w:bCs/>
          <w:b/>
        </w:rPr>
        <w:t xml:space="preserve">For Córdoba Financial Advisory Group S.A.</w:t>
      </w:r>
    </w:p>
    <w:p>
      <w:pPr>
        <w:pStyle w:val="BodyText"/>
      </w:pPr>
      <w:r>
        <w:rPr>
          <w:bCs/>
          <w:b/>
        </w:rPr>
        <w:t xml:space="preserve">Authorized Signatory</w:t>
      </w:r>
      <w:r>
        <w:br/>
      </w:r>
      <w:r>
        <w:t xml:space="preserve">Name: _________________________</w:t>
      </w:r>
      <w:r>
        <w:br/>
      </w:r>
      <w:r>
        <w:t xml:space="preserve">CUIT: _________________________</w:t>
      </w:r>
      <w:r>
        <w:br/>
      </w:r>
      <w:r>
        <w:t xml:space="preserve">Date: _________________________</w:t>
      </w:r>
    </w:p>
    <w:p>
      <w:pPr>
        <w:pStyle w:val="BodyText"/>
      </w:pPr>
      <w:r>
        <w:rPr>
          <w:bCs/>
          <w:b/>
        </w:rPr>
        <w:t xml:space="preserve">For the Client</w:t>
      </w:r>
    </w:p>
    <w:p>
      <w:pPr>
        <w:pStyle w:val="BodyText"/>
      </w:pPr>
      <w:r>
        <w:rPr>
          <w:bCs/>
          <w:b/>
        </w:rPr>
        <w:t xml:space="preserve">Authorized Representative</w:t>
      </w:r>
      <w:r>
        <w:br/>
      </w:r>
      <w:r>
        <w:t xml:space="preserve">Name: _________________________</w:t>
      </w:r>
      <w:r>
        <w:br/>
      </w:r>
      <w:r>
        <w:t xml:space="preserve">CUIT: _________________________</w:t>
      </w:r>
      <w:r>
        <w:br/>
      </w:r>
      <w:r>
        <w:t xml:space="preserve">Date: _________________________</w:t>
      </w:r>
    </w:p>
    <w:p>
      <w:pPr>
        <w:pStyle w:val="BodyText"/>
      </w:pPr>
      <w:r>
        <w:t xml:space="preserve">Quotation Estimate No. QE-BC-2025-04782 — Banker Services — Córdoba, Argentina</w:t>
      </w:r>
      <w:r>
        <w:br/>
      </w:r>
      <w:r>
        <w:t xml:space="preserve">Córdoba Financial Advisory Group S.A. | Av. Hipólito Yrigoyen 1250, Córdoba, Argentina | Tel: +54 351 480-0000</w:t>
      </w:r>
      <w:r>
        <w:br/>
      </w:r>
      <w:r>
        <w:t xml:space="preserve">This document is generated for quotation and estimation purposes only. It does not constitute a final invoice or a binding service contract until countersigned by both parties.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Argentina Córdoba</dc:title>
  <dc:creator/>
  <dc:language>en</dc:language>
  <cp:keywords/>
  <dcterms:created xsi:type="dcterms:W3CDTF">2026-10-10T07:35:13Z</dcterms:created>
  <dcterms:modified xsi:type="dcterms:W3CDTF">2026-10-10T07:35:13Z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