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Melbourne Financial Advisory Group Pty Ltd</w:t>
      </w:r>
    </w:p>
    <w:p>
      <w:pPr>
        <w:pStyle w:val="BodyText"/>
      </w:pPr>
      <w:r>
        <w:t xml:space="preserve">Level 12, 333 Collins Street, Melbourne VIC 3000, Australia</w:t>
      </w:r>
    </w:p>
    <w:p>
      <w:pPr>
        <w:pStyle w:val="BodyText"/>
      </w:pPr>
      <w:r>
        <w:t xml:space="preserve">ABN: 48 215 673 901 | ACN: 612 384 570</w:t>
      </w:r>
    </w:p>
    <w:p>
      <w:pPr>
        <w:pStyle w:val="BodyText"/>
      </w:pPr>
      <w:r>
        <w:t xml:space="preserve">Phone: +61 3 9655 4200 | Email: quotations@melbournefinancialadvisory.com.au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QTE-MEL-2025-04872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Harold &amp; Grace Investments Pty Ltd, 88 Swanston Street, Melbourne VIC 3000, Australia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Banker &amp; Corporate Financial Consultant, Melbourne Financial Advisory Group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Melbourne, Victoria, Australia</w:t>
            </w:r>
          </w:p>
        </w:tc>
      </w:tr>
    </w:tbl>
    <w:p>
      <w:pPr>
        <w:pStyle w:val="BodyText"/>
      </w:pPr>
      <w:r>
        <w:t xml:space="preserve">1. Scope of Quotation Estimate – Banker Services in Australia Melbourne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Melbourne Financial Advisory Group Pty Ltd to provide a comprehensive and itemised cost breakdown for the engagement of a dedicated</w:t>
      </w:r>
      <w:r>
        <w:t xml:space="preserve"> </w:t>
      </w:r>
      <w:r>
        <w:t xml:space="preserve">Banker</w:t>
      </w:r>
      <w:r>
        <w:t xml:space="preserve"> </w:t>
      </w:r>
      <w:r>
        <w:t xml:space="preserve">professional to deliver corporate banking advisory, treasury management, and financial structuring services to Harold &amp; Grace Investments Pty Ltd. All services described herein are to be performed within the metropolitan area of</w:t>
      </w:r>
      <w:r>
        <w:t xml:space="preserve"> </w:t>
      </w:r>
      <w:r>
        <w:t xml:space="preserve">Australia Melbourne</w:t>
      </w:r>
      <w:r>
        <w:t xml:space="preserve">, in strict compliance with the Australian Securities and Investments Commission (ASIC) regulations, the Australian Prudential Regulation Authority (APRA) guidelines, and the Banking Act 1959 (Cth) as amended.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engagement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a full-time, on-site corporate banking consultant who will manage the client's multi-currency accounts, negotiate facility terms with major Australian banking institutions, oversee liquidity planning, and provide strategic financial guidance tailored to the unique economic landscape of</w:t>
      </w:r>
      <w:r>
        <w:t xml:space="preserve"> </w:t>
      </w:r>
      <w:r>
        <w:t xml:space="preserve">Australia Melbourne</w:t>
      </w:r>
      <w:r>
        <w:t xml:space="preserve">. The Banker will operate from the client's premises located in the Melbourne CBD and will attend all relevant board meetings, lender negotiations, and regulatory reporting sessions as required.</w:t>
      </w:r>
    </w:p>
    <w:p>
      <w:pPr>
        <w:pStyle w:val="BodyText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Banker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(10%)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Senior Corporate Banker – Full-time on-site advisory, account structuring, and daily treasury operations management in Melbourne, Australia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Banker-led negotiation and restructuring of existing credit facilities with NAB, ANZ, Westpac, and CBA in Australia Melbourne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liquidity forecasting and cash-flow modelling prepared by the Banker for the Melbourne-based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$3,400 / 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Banker compliance reporting – ASIC, APRA, and AML/CTF regulatory filings specific to Australia Melbourne jurisdiction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and integration of the Banker into existing Melbourne financial systems, ERP, and banking portals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 within Australia Melbourne for the Banker to attend lender offices, ASIC meetings, and client site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indemnity insurance and public liability coverage for the Banker operating in Australia Melbourne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performance review and service-level agreement (SLA) audit of the Banker's deliverables in Melbourne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$239,300.00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$23,930.00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(Incl. GST @ 10%)</w:t>
            </w:r>
          </w:p>
        </w:tc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$263,230.00 AUD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bookmarkStart w:id="21" w:name="general-terms"/>
    <w:p>
      <w:pPr>
        <w:pStyle w:val="Heading3"/>
      </w:pPr>
      <w:r>
        <w:t xml:space="preserve">General Terms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pricing for the</w:t>
      </w:r>
      <w:r>
        <w:t xml:space="preserve"> </w:t>
      </w:r>
      <w:r>
        <w:t xml:space="preserve">Banker</w:t>
      </w:r>
      <w:r>
        <w:t xml:space="preserve"> </w:t>
      </w:r>
      <w:r>
        <w:t xml:space="preserve">engagement may be subject to revision based on prevailing market conditions in</w:t>
      </w:r>
      <w:r>
        <w:t xml:space="preserve"> </w:t>
      </w:r>
      <w:r>
        <w:t xml:space="preserve">Australia Melbourne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amounts are quoted in Australian Dollars (AUD) and are inclusive of Goods and Services Tax (GST) at the current rate of 10% as administered by the Australian Taxation Office (ATO).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shall be engaged under a fixed-term service agreement of twelve (12) months, commencing on the date of mutual execution. Renewal terms for subsequent periods in</w:t>
      </w:r>
      <w:r>
        <w:t xml:space="preserve"> </w:t>
      </w:r>
      <w:r>
        <w:t xml:space="preserve">Australia Melbourne</w:t>
      </w:r>
      <w:r>
        <w:t xml:space="preserve"> </w:t>
      </w:r>
      <w:r>
        <w:t xml:space="preserve">shall be negotiated no later than sixty (60) days prior to the expiry of the initial term.</w:t>
      </w:r>
    </w:p>
    <w:p>
      <w:pPr>
        <w:numPr>
          <w:ilvl w:val="0"/>
          <w:numId w:val="1001"/>
        </w:numPr>
        <w:pStyle w:val="Compact"/>
      </w:pPr>
      <w:r>
        <w:t xml:space="preserve">Payment terms: 50%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is due upon contract execution; the remaining 50% shall be invoiced monthly in arrears. All invoices are payable within fourteen (14) calendar days of the invoice date.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is required to maintain professional indemnity insurance with a minimum cover of AUD $10,000,000 and to hold a valid Australian Financial Services Licence (AFSL) or operate under the authority of Melbourne Financial Advisory Group's AFSL (No. 384 721).</w:t>
      </w:r>
    </w:p>
    <w:p>
      <w:pPr>
        <w:numPr>
          <w:ilvl w:val="0"/>
          <w:numId w:val="1001"/>
        </w:numPr>
        <w:pStyle w:val="Compact"/>
      </w:pPr>
      <w:r>
        <w:t xml:space="preserve">Confidentiality: All financial data, account structures, and proprietary information accessed by the</w:t>
      </w:r>
      <w:r>
        <w:t xml:space="preserve"> </w:t>
      </w:r>
      <w:r>
        <w:t xml:space="preserve">Banker</w:t>
      </w:r>
      <w:r>
        <w:t xml:space="preserve"> </w:t>
      </w:r>
      <w:r>
        <w:t xml:space="preserve">during the engagement in</w:t>
      </w:r>
      <w:r>
        <w:t xml:space="preserve"> </w:t>
      </w:r>
      <w:r>
        <w:t xml:space="preserve">Australia Melbourne</w:t>
      </w:r>
      <w:r>
        <w:t xml:space="preserve"> </w:t>
      </w:r>
      <w:r>
        <w:t xml:space="preserve">shall be treated as strictly confidential and shall not be disclosed to any third party without written consent, in accordance with the Privacy Act 1988 (Cth).</w:t>
      </w:r>
    </w:p>
    <w:p>
      <w:pPr>
        <w:numPr>
          <w:ilvl w:val="0"/>
          <w:numId w:val="1001"/>
        </w:numPr>
        <w:pStyle w:val="Compact"/>
      </w:pPr>
      <w:r>
        <w:t xml:space="preserve">Termination: Either party may terminate the</w:t>
      </w:r>
      <w:r>
        <w:t xml:space="preserve"> </w:t>
      </w:r>
      <w:r>
        <w:t xml:space="preserve">Banker</w:t>
      </w:r>
      <w:r>
        <w:t xml:space="preserve"> </w:t>
      </w:r>
      <w:r>
        <w:t xml:space="preserve">engagement with thirty (30) days' written notice. In the event of termination, all fees accrued up to the termination date as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remain payable.</w:t>
      </w:r>
    </w:p>
    <w:p>
      <w:pPr>
        <w:numPr>
          <w:ilvl w:val="0"/>
          <w:numId w:val="1001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</w:t>
      </w:r>
      <w:r>
        <w:t xml:space="preserve"> </w:t>
      </w:r>
      <w:r>
        <w:t xml:space="preserve">Banker</w:t>
      </w:r>
      <w:r>
        <w:t xml:space="preserve"> </w:t>
      </w:r>
      <w:r>
        <w:t xml:space="preserve">service agreement shall be resolved in accordance with the laws of the State of Victoria,</w:t>
      </w:r>
      <w:r>
        <w:t xml:space="preserve"> </w:t>
      </w:r>
      <w:r>
        <w:t xml:space="preserve">Australia Melbourne</w:t>
      </w:r>
      <w:r>
        <w:t xml:space="preserve">, and shall be subject to the jurisdiction of the Victorian Civil and Administrative Tribunal (VCAT) or the Supreme Court of Victoria.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Agreement. The figures provided are estimates and are subject to final confirmation upon onboarding of the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Australia Melbourne</w:t>
      </w:r>
      <w:r>
        <w:t xml:space="preserve">.</w:t>
      </w:r>
    </w:p>
    <w:bookmarkEnd w:id="21"/>
    <w:p>
      <w:pPr>
        <w:pStyle w:val="FirstParagraph"/>
      </w:pPr>
      <w:r>
        <w:t xml:space="preserve">4. Acceptance and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for the engagement of the</w:t>
      </w:r>
      <w:r>
        <w:t xml:space="preserve"> </w:t>
      </w:r>
      <w:r>
        <w:t xml:space="preserve">Banker</w:t>
      </w:r>
      <w:r>
        <w:t xml:space="preserve"> </w:t>
      </w:r>
      <w:r>
        <w:t xml:space="preserve">professional in</w:t>
      </w:r>
      <w:r>
        <w:t xml:space="preserve"> </w:t>
      </w:r>
      <w:r>
        <w:t xml:space="preserve">Australia Melbourne</w:t>
      </w:r>
      <w:r>
        <w:t xml:space="preserve">.</w:t>
      </w:r>
    </w:p>
    <w:p>
      <w:pPr>
        <w:pStyle w:val="BodyText"/>
      </w:pPr>
      <w:r>
        <w:t xml:space="preserve">Authorised Signatory – Client</w:t>
      </w:r>
    </w:p>
    <w:p>
      <w:pPr>
        <w:pStyle w:val="BodyText"/>
      </w:pPr>
      <w:r>
        <w:t xml:space="preserve">Harold &amp; Grace Investments Pty Ltd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Authorised Signatory – Provider</w:t>
      </w:r>
    </w:p>
    <w:p>
      <w:pPr>
        <w:pStyle w:val="BodyText"/>
      </w:pPr>
      <w:r>
        <w:t xml:space="preserve">Melbourne Financial Advisory Group Pty Ltd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Melbourne Financial Advisory Group Pty Ltd</w:t>
      </w:r>
      <w:r>
        <w:t xml:space="preserve"> </w:t>
      </w:r>
      <w:r>
        <w:t xml:space="preserve">| ABN 48 215 673 901 | AFSL No. 384 721</w:t>
      </w:r>
    </w:p>
    <w:p>
      <w:pPr>
        <w:pStyle w:val="BodyText"/>
      </w:pPr>
      <w:r>
        <w:t xml:space="preserve">Level 12, 333 Collins Street, Melbourne VIC 3000, Australia</w:t>
      </w:r>
    </w:p>
    <w:p>
      <w:pPr>
        <w:pStyle w:val="BodyText"/>
      </w:pPr>
      <w:r>
        <w:t xml:space="preserve">This Quotation Estimate (Ref: QTE-MEL-2025-04872) is the property of Melbourne Financial Advisory Group Pty Ltd and is issued exclusively for the named client. Unauthorised reproduction or distribution is prohibited.</w:t>
      </w:r>
    </w:p>
    <w:p>
      <w:pPr>
        <w:pStyle w:val="BodyText"/>
      </w:pPr>
      <w:r>
        <w:t xml:space="preserve">Page 1 of 1 | Generated: 14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Banker Services - Australia Melbourne</dc:title>
  <dc:creator/>
  <dc:language>en</dc:language>
  <cp:keywords/>
  <dcterms:created xsi:type="dcterms:W3CDTF">2026-10-10T06:41:23Z</dcterms:created>
  <dcterms:modified xsi:type="dcterms:W3CDTF">2026-10-10T06:41:23Z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