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Xe0c4828c242325da4b5e4de69ee735891489b23"/>
    <w:p>
      <w:pPr>
        <w:pStyle w:val="Heading1"/>
      </w:pPr>
      <w:r>
        <w:t xml:space="preserve">Meridian Corporate Banking Solutions Ltd.</w:t>
      </w:r>
    </w:p>
    <w:p>
      <w:pPr>
        <w:pStyle w:val="FirstParagraph"/>
      </w:pPr>
      <w:r>
        <w:t xml:space="preserve">House 42, Road 11, Banani, Dhaka-1213, Bangladesh</w:t>
      </w:r>
    </w:p>
    <w:p>
      <w:pPr>
        <w:pStyle w:val="BodyText"/>
      </w:pPr>
      <w:r>
        <w:t xml:space="preserve">Tel: +880-2-9887654 | Email: quotations@meridianbankingbd.com</w:t>
      </w:r>
    </w:p>
    <w:p>
      <w:pPr>
        <w:pStyle w:val="BodyText"/>
      </w:pPr>
      <w:r>
        <w:t xml:space="preserve">Trade License No: 145789/2019 | TIN: 004567891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MCBS/QE/2025/0347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(until 15 July 2025)</w:t>
            </w:r>
          </w:p>
        </w:tc>
      </w:tr>
      <w:tr>
        <w:tc>
          <w:tcPr/>
          <w:p>
            <w:pPr>
              <w:pStyle w:val="Compact"/>
              <w:jc w:val="left"/>
            </w:pPr>
            <w:r>
              <w:t xml:space="preserve">Prepared For</w:t>
            </w:r>
          </w:p>
        </w:tc>
        <w:tc>
          <w:tcPr/>
          <w:p>
            <w:pPr>
              <w:pStyle w:val="Compact"/>
              <w:jc w:val="left"/>
            </w:pPr>
            <w:r>
              <w:t xml:space="preserve">Mr. Abdul Karim Chowdhury, Managing Director, Padma Textile Industries Ltd., Gulshan-2, Dhaka-1212, Bangladesh</w:t>
            </w:r>
          </w:p>
        </w:tc>
      </w:tr>
      <w:tr>
        <w:tc>
          <w:tcPr/>
          <w:p>
            <w:pPr>
              <w:pStyle w:val="Compact"/>
              <w:jc w:val="left"/>
            </w:pPr>
            <w:r>
              <w:t xml:space="preserve">Prepared By</w:t>
            </w:r>
          </w:p>
        </w:tc>
        <w:tc>
          <w:tcPr/>
          <w:p>
            <w:pPr>
              <w:pStyle w:val="Compact"/>
              <w:jc w:val="left"/>
            </w:pPr>
            <w:r>
              <w:t xml:space="preserve">Mr. Rafiqul Islam, Senior Banker &amp; Financial Consultant, Meridian Corporate Banking Solutions Ltd., Dhaka</w:t>
            </w:r>
          </w:p>
        </w:tc>
      </w:tr>
      <w:tr>
        <w:tc>
          <w:tcPr/>
          <w:p>
            <w:pPr>
              <w:pStyle w:val="Compact"/>
              <w:jc w:val="left"/>
            </w:pPr>
            <w:r>
              <w:t xml:space="preserve">Service Location</w:t>
            </w:r>
          </w:p>
        </w:tc>
        <w:tc>
          <w:tcPr/>
          <w:p>
            <w:pPr>
              <w:pStyle w:val="Compact"/>
              <w:jc w:val="left"/>
            </w:pPr>
            <w:r>
              <w:t xml:space="preserve">Dhaka, Bangladesh (All branches and remote advisory)</w:t>
            </w:r>
          </w:p>
        </w:tc>
      </w:tr>
    </w:tbl>
    <w:bookmarkStart w:id="21" w:name="introduction-and-scope-of-services"/>
    <w:p>
      <w:pPr>
        <w:pStyle w:val="Heading2"/>
      </w:pPr>
      <w:r>
        <w:t xml:space="preserve">1. Introduction and Scope of Services</w:t>
      </w:r>
    </w:p>
    <w:p>
      <w:pPr>
        <w:pStyle w:val="FirstParagraph"/>
      </w:pPr>
      <w:r>
        <w:t xml:space="preserve">This Quotation Estimate is issued by Meridian Corporate Banking Solutions Ltd., a licensed financial advisory firm operating in Bangladesh Dhaka, to provide comprehensive banking services and professional banker consultation to Padma Textile Industries Ltd. The services outlined herein are designed to support the client's corporate banking operations, treasury management, trade finance facilitation, and strategic financial planning within the Dhaka metropolitan area and across Bangladesh.</w:t>
      </w:r>
    </w:p>
    <w:p>
      <w:pPr>
        <w:pStyle w:val="BodyText"/>
      </w:pPr>
      <w:r>
        <w:t xml:space="preserve">As a dedicated Banker and financial consultant, our team in Bangladesh Dhaka will serve as the primary point of contact for all banking-related matters, ensuring seamless coordination between the client and their primary banking institutions, including but not limited to the Bangladesh Bank regulatory framework, commercial banks, and development finance institutions operating in Dhaka.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Corporate Banker Advisory &amp; Account Management – Ongoing management of corporate current accounts, savings accounts, and fixed deposit portfolios across multiple banks in Dhaka</w:t>
            </w:r>
          </w:p>
        </w:tc>
        <w:tc>
          <w:tcPr/>
          <w:p>
            <w:pPr>
              <w:pStyle w:val="Compact"/>
              <w:jc w:val="left"/>
            </w:pPr>
            <w:r>
              <w:t xml:space="preserve">12 months (annual retainer)</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Trade Finance Facilitation – Structuring and processing of Letters of Credit (LC), Bank Guarantees (BG), and Bill Discounting for import/export operations</w:t>
            </w:r>
          </w:p>
        </w:tc>
        <w:tc>
          <w:tcPr/>
          <w:p>
            <w:pPr>
              <w:pStyle w:val="Compact"/>
              <w:jc w:val="left"/>
            </w:pPr>
            <w:r>
              <w:t xml:space="preserve">Per transaction (estimated 24 transactions)</w:t>
            </w:r>
          </w:p>
        </w:tc>
        <w:tc>
          <w:tcPr/>
          <w:p>
            <w:pPr>
              <w:pStyle w:val="Compact"/>
              <w:jc w:val="left"/>
            </w:pPr>
            <w:r>
              <w:t xml:space="preserve">12,500 / transaction</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Treasury &amp; Cash Flow Management – Daily liquidity planning, inter-bank fund transfers, and foreign exchange hedging strategies in Bangladesh Dhaka</w:t>
            </w:r>
          </w:p>
        </w:tc>
        <w:tc>
          <w:tcPr/>
          <w:p>
            <w:pPr>
              <w:pStyle w:val="Compact"/>
              <w:jc w:val="left"/>
            </w:pPr>
            <w:r>
              <w:t xml:space="preserve">12 months (annual retainer)</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Regulatory Compliance &amp; Bangladesh Bank Reporting – Preparation and submission of statutory reports, KYC/AML documentation, and compliance audits</w:t>
            </w:r>
          </w:p>
        </w:tc>
        <w:tc>
          <w:tcPr/>
          <w:p>
            <w:pPr>
              <w:pStyle w:val="Compact"/>
              <w:jc w:val="left"/>
            </w:pPr>
            <w:r>
              <w:t xml:space="preserve">Quarterly (4 cycles)</w:t>
            </w:r>
          </w:p>
        </w:tc>
        <w:tc>
          <w:tcPr/>
          <w:p>
            <w:pPr>
              <w:pStyle w:val="Compact"/>
              <w:jc w:val="left"/>
            </w:pPr>
            <w:r>
              <w:t xml:space="preserve">45,000 / cycle</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Strategic Financial Planning &amp; Investment Advisory – Annual budgeting, capital structure optimization, and investment portfolio review</w:t>
            </w:r>
          </w:p>
        </w:tc>
        <w:tc>
          <w:tcPr/>
          <w:p>
            <w:pPr>
              <w:pStyle w:val="Compact"/>
              <w:jc w:val="left"/>
            </w:pPr>
            <w:r>
              <w:t xml:space="preserve">2 sessions per year</w:t>
            </w:r>
          </w:p>
        </w:tc>
        <w:tc>
          <w:tcPr/>
          <w:p>
            <w:pPr>
              <w:pStyle w:val="Compact"/>
              <w:jc w:val="left"/>
            </w:pPr>
            <w:r>
              <w:t xml:space="preserve">75,000 / session</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On-site Banker Visits to Dhaka Branches – Physical presence at client's premises and bank branches in Dhaka for negotiations, document verification, and relationship management</w:t>
            </w:r>
          </w:p>
        </w:tc>
        <w:tc>
          <w:tcPr/>
          <w:p>
            <w:pPr>
              <w:pStyle w:val="Compact"/>
              <w:jc w:val="left"/>
            </w:pPr>
            <w:r>
              <w:t xml:space="preserve">8 visits per year</w:t>
            </w:r>
          </w:p>
        </w:tc>
        <w:tc>
          <w:tcPr/>
          <w:p>
            <w:pPr>
              <w:pStyle w:val="Compact"/>
              <w:jc w:val="left"/>
            </w:pPr>
            <w:r>
              <w:t xml:space="preserve">15,000 / visit</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Emergency Banking Support &amp; Crisis Advisory – 24/7 availability for urgent banking matters, overdraft negotiations, and liquidity crisis management</w:t>
            </w:r>
          </w:p>
        </w:tc>
        <w:tc>
          <w:tcPr/>
          <w:p>
            <w:pPr>
              <w:pStyle w:val="Compact"/>
              <w:jc w:val="left"/>
            </w:pPr>
            <w:r>
              <w:t xml:space="preserve">12 months (standby)</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Technology Integration &amp; Digital Banking Setup – Implementation of online banking portals, API integrations with core banking systems, and mobile banking solutions</w:t>
            </w:r>
          </w:p>
        </w:tc>
        <w:tc>
          <w:tcPr/>
          <w:p>
            <w:pPr>
              <w:pStyle w:val="Compact"/>
              <w:jc w:val="left"/>
            </w:pPr>
            <w:r>
              <w:t xml:space="preserve">One-time setup</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Subtotal (BDT)</w:t>
            </w:r>
          </w:p>
        </w:tc>
        <w:tc>
          <w:tcPr/>
          <w:p>
            <w:pPr>
              <w:pStyle w:val="Compact"/>
              <w:jc w:val="left"/>
            </w:pPr>
            <w:r>
              <w:t xml:space="preserve">3,160,000</w:t>
            </w:r>
          </w:p>
        </w:tc>
      </w:tr>
      <w:tr>
        <w:tc>
          <w:tcPr>
            <w:gridSpan w:val="4"/>
          </w:tcPr>
          <w:p>
            <w:pPr>
              <w:pStyle w:val="Compact"/>
              <w:jc w:val="left"/>
            </w:pPr>
            <w:r>
              <w:t xml:space="preserve">VAT @ 15% (as applicable under Bangladesh tax law)</w:t>
            </w:r>
          </w:p>
        </w:tc>
        <w:tc>
          <w:tcPr/>
          <w:p>
            <w:pPr>
              <w:pStyle w:val="Compact"/>
              <w:jc w:val="left"/>
            </w:pPr>
            <w:r>
              <w:t xml:space="preserve">474,000</w:t>
            </w:r>
          </w:p>
        </w:tc>
      </w:tr>
      <w:tr>
        <w:tc>
          <w:tcPr>
            <w:gridSpan w:val="4"/>
          </w:tcPr>
          <w:p>
            <w:pPr>
              <w:pStyle w:val="Compact"/>
              <w:jc w:val="left"/>
            </w:pPr>
            <w:r>
              <w:t xml:space="preserve">TOTAL QUOTATION ESTIMATE (BDT)</w:t>
            </w:r>
          </w:p>
        </w:tc>
        <w:tc>
          <w:tcPr/>
          <w:p>
            <w:pPr>
              <w:pStyle w:val="Compact"/>
              <w:jc w:val="left"/>
            </w:pPr>
            <w:r>
              <w:t xml:space="preserve">3,634,000</w:t>
            </w:r>
          </w:p>
        </w:tc>
      </w:tr>
    </w:tbl>
    <w:p>
      <w:pPr>
        <w:pStyle w:val="BodyText"/>
      </w:pPr>
      <w:r>
        <w:rPr>
          <w:bCs/>
          <w:b/>
        </w:rPr>
        <w:t xml:space="preserve">Total in words:</w:t>
      </w:r>
      <w:r>
        <w:t xml:space="preserve"> </w:t>
      </w:r>
      <w:r>
        <w:t xml:space="preserve">Three Million Six Hundred Thirty-Four Thousand Taka Only (BDT 3,634,000.00)</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rates and terms are subject to revision based on prevailing market conditions in Bangladesh Dhaka.</w:t>
      </w:r>
    </w:p>
    <w:p>
      <w:pPr>
        <w:numPr>
          <w:ilvl w:val="0"/>
          <w:numId w:val="1001"/>
        </w:numPr>
        <w:pStyle w:val="Compact"/>
      </w:pPr>
      <w:r>
        <w:t xml:space="preserve">Payment terms: 40% advance payment upon acceptance of this Quotation Estimate, 30% upon completion of the first six-month service cycle, and the remaining 30% upon successful completion of the full twelve-month engagement.</w:t>
      </w:r>
    </w:p>
    <w:p>
      <w:pPr>
        <w:numPr>
          <w:ilvl w:val="0"/>
          <w:numId w:val="1001"/>
        </w:numPr>
        <w:pStyle w:val="Compact"/>
      </w:pPr>
      <w:r>
        <w:t xml:space="preserve">All payments shall be made in Bangladeshi Taka (BDT) via bank transfer to the designated account of Meridian Corporate Banking Solutions Ltd. at a commercial bank in Dhaka. No cash transactions exceeding BDT 50,000 shall be accepted in compliance with Bangladesh Bank regulations.</w:t>
      </w:r>
    </w:p>
    <w:p>
      <w:pPr>
        <w:numPr>
          <w:ilvl w:val="0"/>
          <w:numId w:val="1001"/>
        </w:numPr>
        <w:pStyle w:val="Compact"/>
      </w:pPr>
      <w:r>
        <w:t xml:space="preserve">The Banker services described in this Quotation Estimate are advisory in nature. Final decisions regarding banking products, credit facilities, and investment instruments rest solely with the client. Our firm does not act as a licensed bank and does not hold client funds.</w:t>
      </w:r>
    </w:p>
    <w:p>
      <w:pPr>
        <w:numPr>
          <w:ilvl w:val="0"/>
          <w:numId w:val="1001"/>
        </w:numPr>
        <w:pStyle w:val="Compact"/>
      </w:pPr>
      <w:r>
        <w:t xml:space="preserve">All services shall be performed in accordance with the Banking Companies Act, 1991 (as amended), the Foreign Exchange Regulation Act, 1947, and all applicable directives issued by Bangladesh Bank, the central banking authority of Bangladesh Dhaka.</w:t>
      </w:r>
    </w:p>
    <w:p>
      <w:pPr>
        <w:numPr>
          <w:ilvl w:val="0"/>
          <w:numId w:val="1001"/>
        </w:numPr>
        <w:pStyle w:val="Compact"/>
      </w:pPr>
      <w:r>
        <w:t xml:space="preserve">Confidentiality: All financial data, account information, and business records shared during the engagement shall be treated as strictly confidential and shall not be disclosed to any third party without written consent, in compliance with the Digital Security Act, 2018 of Bangladesh.</w:t>
      </w:r>
    </w:p>
    <w:p>
      <w:pPr>
        <w:numPr>
          <w:ilvl w:val="0"/>
          <w:numId w:val="1001"/>
        </w:numPr>
        <w:pStyle w:val="Compact"/>
      </w:pPr>
      <w:r>
        <w:t xml:space="preserve">Force Majeure: Neither party shall be liable for failure to perform obligations due to events beyond reasonable control, including but not limited to natural disasters, government-imposed restrictions, banking system failures, or political instability in Bangladesh.</w:t>
      </w:r>
    </w:p>
    <w:p>
      <w:pPr>
        <w:numPr>
          <w:ilvl w:val="0"/>
          <w:numId w:val="1001"/>
        </w:numPr>
        <w:pStyle w:val="Compact"/>
      </w:pPr>
      <w:r>
        <w:t xml:space="preserve">Dispute Resolution: Any disputes arising from this Quotation Estimate shall be resolved through amicable negotiation. Failing resolution within thirty (30) days, the matter shall be referred to arbitration under the Arbitration Act, 2001, with the seat of arbitration in Dhaka, Bangladesh.</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All rates quoted are exclusive of any government levies, stamp duties, or regulatory fees that may be imposed by Bangladesh Bank or the National Board of Revenue (NBR) during the service period.</w:t>
      </w:r>
    </w:p>
    <w:p>
      <w:pPr>
        <w:pStyle w:val="FirstParagraph"/>
      </w:pPr>
      <w:r>
        <w:rPr>
          <w:bCs/>
          <w:b/>
        </w:rPr>
        <w:t xml:space="preserve">Note:</w:t>
      </w:r>
      <w:r>
        <w:t xml:space="preserve"> </w:t>
      </w:r>
      <w:r>
        <w:t xml:space="preserve">This Quotation Estimate has been prepared specifically for use in Bangladesh Dhaka and reflects current market rates as of June 2025. The Banker services are tailored to the corporate banking landscape of Dhaka, including proximity to the Bangladesh Bank head office at Motijheel C/A and major commercial banking hubs in Gulshan, Banani, and Tejgaon.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above for the provision of Banker services in Bangladesh Dhaka.</w:t>
      </w:r>
    </w:p>
    <w:p>
      <w:pPr>
        <w:pStyle w:val="BodyText"/>
      </w:pPr>
      <w:r>
        <w:rPr>
          <w:bCs/>
          <w:b/>
        </w:rPr>
        <w:t xml:space="preserve">For and on behalf of</w:t>
      </w:r>
      <w:r>
        <w:br/>
      </w:r>
      <w:r>
        <w:t xml:space="preserve">Meridian Corporate Banking Solutions Ltd.</w:t>
      </w:r>
      <w:r>
        <w:br/>
      </w:r>
      <w:r>
        <w:t xml:space="preserve">(Service Provider – Banker)</w:t>
      </w:r>
    </w:p>
    <w:p>
      <w:pPr>
        <w:pStyle w:val="BodyText"/>
      </w:pPr>
      <w:r>
        <w:br/>
      </w:r>
      <w:r>
        <w:br/>
      </w:r>
    </w:p>
    <w:p>
      <w:pPr>
        <w:pStyle w:val="BodyText"/>
      </w:pPr>
      <w:r>
        <w:t xml:space="preserve">___________________________</w:t>
      </w:r>
    </w:p>
    <w:p>
      <w:pPr>
        <w:pStyle w:val="BodyText"/>
      </w:pPr>
      <w:r>
        <w:t xml:space="preserve">Mr. Rafiqul Islam</w:t>
      </w:r>
    </w:p>
    <w:p>
      <w:pPr>
        <w:pStyle w:val="BodyText"/>
      </w:pPr>
      <w:r>
        <w:t xml:space="preserve">Senior Banker &amp; Financial Consultant</w:t>
      </w:r>
    </w:p>
    <w:p>
      <w:pPr>
        <w:pStyle w:val="BodyText"/>
      </w:pPr>
      <w:r>
        <w:t xml:space="preserve">Date: _______________</w:t>
      </w:r>
    </w:p>
    <w:p>
      <w:pPr>
        <w:pStyle w:val="BodyText"/>
      </w:pPr>
      <w:r>
        <w:rPr>
          <w:bCs/>
          <w:b/>
        </w:rPr>
        <w:t xml:space="preserve">For and on behalf of</w:t>
      </w:r>
      <w:r>
        <w:br/>
      </w:r>
      <w:r>
        <w:t xml:space="preserve">Padma Textile Industries Ltd.</w:t>
      </w:r>
      <w:r>
        <w:br/>
      </w:r>
      <w:r>
        <w:t xml:space="preserve">(Client)</w:t>
      </w:r>
    </w:p>
    <w:p>
      <w:pPr>
        <w:pStyle w:val="BodyText"/>
      </w:pPr>
      <w:r>
        <w:br/>
      </w:r>
      <w:r>
        <w:br/>
      </w:r>
    </w:p>
    <w:p>
      <w:pPr>
        <w:pStyle w:val="BodyText"/>
      </w:pPr>
      <w:r>
        <w:t xml:space="preserve">___________________________</w:t>
      </w:r>
    </w:p>
    <w:p>
      <w:pPr>
        <w:pStyle w:val="BodyText"/>
      </w:pPr>
      <w:r>
        <w:t xml:space="preserve">Mr. Abdul Karim Chowdhury</w:t>
      </w:r>
    </w:p>
    <w:p>
      <w:pPr>
        <w:pStyle w:val="BodyText"/>
      </w:pPr>
      <w:r>
        <w:t xml:space="preserve">Managing Director</w:t>
      </w:r>
    </w:p>
    <w:p>
      <w:pPr>
        <w:pStyle w:val="BodyText"/>
      </w:pPr>
      <w:r>
        <w:t xml:space="preserve">Date: _______________</w:t>
      </w:r>
    </w:p>
    <w:p>
      <w:pPr>
        <w:pStyle w:val="BodyText"/>
      </w:pPr>
      <w:r>
        <w:t xml:space="preserve">Meridian Corporate Banking Solutions Ltd. | House 42, Road 11, Banani, Dhaka-1213, Bangladesh</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MCBS/QE/2025/0347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Banking Services - Bangladesh Dhaka</dc:title>
  <dc:creator/>
  <dc:language>en</dc:language>
  <cp:keywords/>
  <dcterms:created xsi:type="dcterms:W3CDTF">2026-10-10T07:36:18Z</dcterms:created>
  <dcterms:modified xsi:type="dcterms:W3CDTF">2026-10-10T07:36:18Z</dcterms:modified>
</cp:coreProperties>
</file>

<file path=docProps/custom.xml><?xml version="1.0" encoding="utf-8"?>
<Properties xmlns="http://schemas.openxmlformats.org/officeDocument/2006/custom-properties" xmlns:vt="http://schemas.openxmlformats.org/officeDocument/2006/docPropsVTypes"/>
</file>