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meridian-banking-solutions-s.a."/>
    <w:p>
      <w:pPr>
        <w:pStyle w:val="Heading1"/>
      </w:pPr>
      <w:r>
        <w:t xml:space="preserve">Meridian Banking Solutions S.A.</w:t>
      </w:r>
    </w:p>
    <w:p>
      <w:pPr>
        <w:pStyle w:val="FirstParagraph"/>
      </w:pPr>
      <w:r>
        <w:t xml:space="preserve">Av. Louise 245, 1050 Brussels, Belgium</w:t>
      </w:r>
    </w:p>
    <w:p>
      <w:pPr>
        <w:pStyle w:val="BodyText"/>
      </w:pPr>
      <w:r>
        <w:t xml:space="preserve">VAT No: BE 0765.432.109 | RIB: BE71 5230 0001 2345 6789</w:t>
      </w:r>
    </w:p>
    <w:p>
      <w:pPr>
        <w:pStyle w:val="BodyText"/>
      </w:pPr>
      <w:r>
        <w:t xml:space="preserve">Tel: +32 2 555 0142 | Email: quotations@meridianbanking.be</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QTE-BRUX-2025-04871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Prepared By:</w:t>
      </w:r>
      <w:r>
        <w:t xml:space="preserve"> </w:t>
      </w:r>
      <w:r>
        <w:t xml:space="preserve">Mr. Hendrik Van den Berg, Senior Banker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[Street, Postal Code, Brussels, Belgium]</w:t>
      </w:r>
    </w:p>
    <w:p>
      <w:pPr>
        <w:pStyle w:val="BodyText"/>
      </w:pPr>
      <w:r>
        <w:rPr>
          <w:bCs/>
          <w:b/>
        </w:rPr>
        <w:t xml:space="preserve">Contact Person:</w:t>
      </w:r>
      <w:r>
        <w:t xml:space="preserve"> </w:t>
      </w:r>
      <w:r>
        <w:t xml:space="preserve">[Name &amp; Title]</w:t>
      </w:r>
    </w:p>
    <w:p>
      <w:pPr>
        <w:pStyle w:val="BodyText"/>
      </w:pPr>
      <w:r>
        <w:rPr>
          <w:bCs/>
          <w:b/>
        </w:rPr>
        <w:t xml:space="preserve">Reference:</w:t>
      </w:r>
      <w:r>
        <w:t xml:space="preserve"> </w:t>
      </w:r>
      <w:r>
        <w:t xml:space="preserve">[Client Account / Project Ref]</w:t>
      </w:r>
    </w:p>
    <w:bookmarkEnd w:id="22"/>
    <w:p>
      <w:pPr>
        <w:pStyle w:val="BodyText"/>
      </w:pPr>
      <w:r>
        <w:t xml:space="preserve">Dear Valued Client,</w:t>
      </w:r>
    </w:p>
    <w:p>
      <w:pPr>
        <w:pStyle w:val="BodyText"/>
      </w:pPr>
      <w:r>
        <w:t xml:space="preserve">Thank you for your interest in the professional banking services offered by Meridian Banking Solutions S.A. This</w:t>
      </w:r>
      <w:r>
        <w:t xml:space="preserve"> </w:t>
      </w:r>
      <w:r>
        <w:t xml:space="preserve">Quotation Estimate</w:t>
      </w:r>
      <w:r>
        <w:t xml:space="preserve"> </w:t>
      </w:r>
      <w:r>
        <w:t xml:space="preserve">has been carefully prepared to outline the full scope of</w:t>
      </w:r>
      <w:r>
        <w:t xml:space="preserve"> </w:t>
      </w:r>
      <w:r>
        <w:t xml:space="preserve">Banker</w:t>
      </w:r>
      <w:r>
        <w:t xml:space="preserve"> </w:t>
      </w:r>
      <w:r>
        <w:t xml:space="preserve">services that we propose to deliver to your organisation within the</w:t>
      </w:r>
      <w:r>
        <w:t xml:space="preserve"> </w:t>
      </w:r>
      <w:r>
        <w:t xml:space="preserve">Belgium Brussels</w:t>
      </w:r>
      <w:r>
        <w:t xml:space="preserve"> </w:t>
      </w:r>
      <w:r>
        <w:t xml:space="preserve">metropolitan area. As a licensed and regulated financial institution operating under the supervision of the National Bank of Belgium (NBB) and the Financial Services and Markets Authority (FSMA), we are committed to providing transparent, compliant, and tailored banking solutions to all our clients in Brussels and the broader Flemish and Walloon regions.</w:t>
      </w:r>
    </w:p>
    <w:p>
      <w:pPr>
        <w:pStyle w:val="BodyText"/>
      </w:pPr>
      <w:r>
        <w:t xml:space="preserve">The following</w:t>
      </w:r>
      <w:r>
        <w:t xml:space="preserve"> </w:t>
      </w:r>
      <w:r>
        <w:t xml:space="preserve">Quotation Estimate</w:t>
      </w:r>
      <w:r>
        <w:t xml:space="preserve"> </w:t>
      </w:r>
      <w:r>
        <w:t xml:space="preserve">details the fees, charges, and service components associated with the engagement of our dedicated</w:t>
      </w:r>
      <w:r>
        <w:t xml:space="preserve"> </w:t>
      </w:r>
      <w:r>
        <w:t xml:space="preserve">Banker</w:t>
      </w:r>
      <w:r>
        <w:t xml:space="preserve"> </w:t>
      </w:r>
      <w:r>
        <w:t xml:space="preserve">team. All pricing is expressed in Euros (EUR) and is inclusive of applicable Belgian Value Added Tax (VAT) at the standard rate of 21%, unless otherwise stated. This document serves as a formal</w:t>
      </w:r>
      <w:r>
        <w:t xml:space="preserve"> </w:t>
      </w:r>
      <w:r>
        <w:t xml:space="preserve">Quotation Estimate</w:t>
      </w:r>
      <w:r>
        <w:t xml:space="preserve"> </w:t>
      </w:r>
      <w:r>
        <w:t xml:space="preserve">and does not constitute a binding contract until both parties have executed the definitive service agreement.</w:t>
      </w:r>
    </w:p>
    <w:bookmarkStart w:id="23" w:name="X2a1db1e4e37d05f81af042f56ff749cc4dca405"/>
    <w:p>
      <w:pPr>
        <w:pStyle w:val="Heading2"/>
      </w:pPr>
      <w:r>
        <w:t xml:space="preserve">Scope of Banker Services – Belgium Brussels</w:t>
      </w:r>
    </w:p>
    <w:p>
      <w:pPr>
        <w:pStyle w:val="FirstParagraph"/>
      </w:pPr>
      <w:r>
        <w:t xml:space="preserve">Our</w:t>
      </w:r>
      <w:r>
        <w:t xml:space="preserve"> </w:t>
      </w:r>
      <w:r>
        <w:t xml:space="preserve">Banker</w:t>
      </w:r>
      <w:r>
        <w:t xml:space="preserve"> </w:t>
      </w:r>
      <w:r>
        <w:t xml:space="preserve">team, based at our principal office in the European Quarter of Brussels, will provide the following comprehensive services to support your corporate and personal financial operations in</w:t>
      </w:r>
      <w:r>
        <w:t xml:space="preserve"> </w:t>
      </w:r>
      <w:r>
        <w:t xml:space="preserve">Belgium Brussels</w:t>
      </w:r>
      <w:r>
        <w:t xml:space="preserve">:</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Dedicated Corporate Banker – Primary Relationship Management (on-site in Brussels, 3 days/week)</w:t>
            </w:r>
          </w:p>
        </w:tc>
        <w:tc>
          <w:tcPr/>
          <w:p>
            <w:pPr>
              <w:pStyle w:val="Compact"/>
              <w:jc w:val="left"/>
            </w:pPr>
            <w:r>
              <w:t xml:space="preserve">Monthly</w:t>
            </w:r>
          </w:p>
        </w:tc>
        <w:tc>
          <w:tcPr/>
          <w:p>
            <w:pPr>
              <w:pStyle w:val="Compact"/>
              <w:jc w:val="left"/>
            </w:pPr>
            <w:r>
              <w:t xml:space="preserve">Month</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Multi-Currency Account Management &amp; FX Advisory (EUR, USD, GBP, CHF)</w:t>
            </w:r>
          </w:p>
        </w:tc>
        <w:tc>
          <w:tcPr/>
          <w:p>
            <w:pPr>
              <w:pStyle w:val="Compact"/>
              <w:jc w:val="left"/>
            </w:pPr>
            <w:r>
              <w:t xml:space="preserve">Monthly</w:t>
            </w:r>
          </w:p>
        </w:tc>
        <w:tc>
          <w:tcPr/>
          <w:p>
            <w:pPr>
              <w:pStyle w:val="Compact"/>
              <w:jc w:val="left"/>
            </w:pPr>
            <w:r>
              <w:t xml:space="preserve">Month</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Treasury &amp; Cash Flow Optimisation Consulting (Belgium Brussels regulatory compliance)</w:t>
            </w:r>
          </w:p>
        </w:tc>
        <w:tc>
          <w:tcPr/>
          <w:p>
            <w:pPr>
              <w:pStyle w:val="Compact"/>
              <w:jc w:val="left"/>
            </w:pPr>
            <w:r>
              <w:t xml:space="preserve">Quarterly</w:t>
            </w:r>
          </w:p>
        </w:tc>
        <w:tc>
          <w:tcPr/>
          <w:p>
            <w:pPr>
              <w:pStyle w:val="Compact"/>
              <w:jc w:val="left"/>
            </w:pPr>
            <w:r>
              <w:t xml:space="preserve">Quarter</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04</w:t>
            </w:r>
          </w:p>
        </w:tc>
        <w:tc>
          <w:tcPr/>
          <w:p>
            <w:pPr>
              <w:pStyle w:val="Compact"/>
              <w:jc w:val="left"/>
            </w:pPr>
            <w:r>
              <w:t xml:space="preserve">Trade Finance &amp; Letter of Credit Issuance (EU/EEA corridors)</w:t>
            </w:r>
          </w:p>
        </w:tc>
        <w:tc>
          <w:tcPr/>
          <w:p>
            <w:pPr>
              <w:pStyle w:val="Compact"/>
              <w:jc w:val="left"/>
            </w:pPr>
            <w:r>
              <w:t xml:space="preserve">Per transaction</w:t>
            </w:r>
          </w:p>
        </w:tc>
        <w:tc>
          <w:tcPr/>
          <w:p>
            <w:pPr>
              <w:pStyle w:val="Compact"/>
              <w:jc w:val="left"/>
            </w:pPr>
            <w:r>
              <w:t xml:space="preserve">Transaction</w:t>
            </w:r>
          </w:p>
        </w:tc>
        <w:tc>
          <w:tcPr/>
          <w:p>
            <w:pPr>
              <w:pStyle w:val="Compact"/>
              <w:jc w:val="left"/>
            </w:pPr>
            <w:r>
              <w:t xml:space="preserve">850.00</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Regulatory Reporting &amp; AML/KYC Compliance (NBB &amp; FSMA requirements)</w:t>
            </w:r>
          </w:p>
        </w:tc>
        <w:tc>
          <w:tcPr/>
          <w:p>
            <w:pPr>
              <w:pStyle w:val="Compact"/>
              <w:jc w:val="left"/>
            </w:pPr>
            <w:r>
              <w:t xml:space="preserve">Monthly</w:t>
            </w:r>
          </w:p>
        </w:tc>
        <w:tc>
          <w:tcPr/>
          <w:p>
            <w:pPr>
              <w:pStyle w:val="Compact"/>
              <w:jc w:val="left"/>
            </w:pPr>
            <w:r>
              <w:t xml:space="preserve">Month</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06</w:t>
            </w:r>
          </w:p>
        </w:tc>
        <w:tc>
          <w:tcPr/>
          <w:p>
            <w:pPr>
              <w:pStyle w:val="Compact"/>
              <w:jc w:val="left"/>
            </w:pPr>
            <w:r>
              <w:t xml:space="preserve">Board-Level Financial Advisory &amp; Strategic Planning Sessions (Brussels HQ)</w:t>
            </w:r>
          </w:p>
        </w:tc>
        <w:tc>
          <w:tcPr/>
          <w:p>
            <w:pPr>
              <w:pStyle w:val="Compact"/>
              <w:jc w:val="left"/>
            </w:pPr>
            <w:r>
              <w:t xml:space="preserve">Bi-monthly</w:t>
            </w:r>
          </w:p>
        </w:tc>
        <w:tc>
          <w:tcPr/>
          <w:p>
            <w:pPr>
              <w:pStyle w:val="Compact"/>
              <w:jc w:val="left"/>
            </w:pPr>
            <w:r>
              <w:t xml:space="preserve">Session</w:t>
            </w:r>
          </w:p>
        </w:tc>
        <w:tc>
          <w:tcPr/>
          <w:p>
            <w:pPr>
              <w:pStyle w:val="Compact"/>
              <w:jc w:val="left"/>
            </w:pPr>
            <w:r>
              <w:t xml:space="preserve">2,200.00</w:t>
            </w:r>
          </w:p>
        </w:tc>
        <w:tc>
          <w:tcPr/>
          <w:p>
            <w:pPr>
              <w:pStyle w:val="Compact"/>
              <w:jc w:val="left"/>
            </w:pPr>
            <w:r>
              <w:t xml:space="preserve">13,200.00</w:t>
            </w:r>
          </w:p>
        </w:tc>
      </w:tr>
      <w:tr>
        <w:tc>
          <w:tcPr/>
          <w:p>
            <w:pPr>
              <w:pStyle w:val="Compact"/>
              <w:jc w:val="left"/>
            </w:pPr>
            <w:r>
              <w:t xml:space="preserve">07</w:t>
            </w:r>
          </w:p>
        </w:tc>
        <w:tc>
          <w:tcPr/>
          <w:p>
            <w:pPr>
              <w:pStyle w:val="Compact"/>
              <w:jc w:val="left"/>
            </w:pPr>
            <w:r>
              <w:t xml:space="preserve">Payroll Banking &amp; Employee Salary Disbursement (Belgian social security integration)</w:t>
            </w:r>
          </w:p>
        </w:tc>
        <w:tc>
          <w:tcPr/>
          <w:p>
            <w:pPr>
              <w:pStyle w:val="Compact"/>
              <w:jc w:val="left"/>
            </w:pPr>
            <w:r>
              <w:t xml:space="preserve">Monthly</w:t>
            </w:r>
          </w:p>
        </w:tc>
        <w:tc>
          <w:tcPr/>
          <w:p>
            <w:pPr>
              <w:pStyle w:val="Compact"/>
              <w:jc w:val="left"/>
            </w:pPr>
            <w:r>
              <w:t xml:space="preserve">Month</w:t>
            </w:r>
          </w:p>
        </w:tc>
        <w:tc>
          <w:tcPr/>
          <w:p>
            <w:pPr>
              <w:pStyle w:val="Compact"/>
              <w:jc w:val="left"/>
            </w:pPr>
            <w:r>
              <w:t xml:space="preserve">680.00</w:t>
            </w:r>
          </w:p>
        </w:tc>
        <w:tc>
          <w:tcPr/>
          <w:p>
            <w:pPr>
              <w:pStyle w:val="Compact"/>
              <w:jc w:val="left"/>
            </w:pPr>
            <w:r>
              <w:t xml:space="preserve">8,160.00</w:t>
            </w:r>
          </w:p>
        </w:tc>
      </w:tr>
      <w:tr>
        <w:tc>
          <w:tcPr/>
          <w:p>
            <w:pPr>
              <w:pStyle w:val="Compact"/>
              <w:jc w:val="left"/>
            </w:pPr>
            <w:r>
              <w:t xml:space="preserve">08</w:t>
            </w:r>
          </w:p>
        </w:tc>
        <w:tc>
          <w:tcPr/>
          <w:p>
            <w:pPr>
              <w:pStyle w:val="Compact"/>
              <w:jc w:val="left"/>
            </w:pPr>
            <w:r>
              <w:t xml:space="preserve">Emergency Liquidity Support &amp; Overdraft Facility Management</w:t>
            </w:r>
          </w:p>
        </w:tc>
        <w:tc>
          <w:tcPr/>
          <w:p>
            <w:pPr>
              <w:pStyle w:val="Compact"/>
              <w:jc w:val="left"/>
            </w:pPr>
            <w:r>
              <w:t xml:space="preserve">Annual</w:t>
            </w:r>
          </w:p>
        </w:tc>
        <w:tc>
          <w:tcPr/>
          <w:p>
            <w:pPr>
              <w:pStyle w:val="Compact"/>
              <w:jc w:val="left"/>
            </w:pPr>
            <w:r>
              <w:t xml:space="preserve">Year</w:t>
            </w:r>
          </w:p>
        </w:tc>
        <w:tc>
          <w:tcPr/>
          <w:p>
            <w:pPr>
              <w:pStyle w:val="Compact"/>
              <w:jc w:val="left"/>
            </w:pPr>
            <w:r>
              <w:t xml:space="preserve">5,500.00</w:t>
            </w:r>
          </w:p>
        </w:tc>
        <w:tc>
          <w:tcPr/>
          <w:p>
            <w:pPr>
              <w:pStyle w:val="Compact"/>
              <w:jc w:val="left"/>
            </w:pPr>
            <w:r>
              <w:t xml:space="preserve">5,500.00</w:t>
            </w:r>
          </w:p>
        </w:tc>
      </w:tr>
      <w:tr>
        <w:tc>
          <w:tcPr>
            <w:gridSpan w:val="5"/>
          </w:tcPr>
          <w:p>
            <w:pPr>
              <w:pStyle w:val="Compact"/>
              <w:jc w:val="left"/>
            </w:pPr>
            <w:r>
              <w:t xml:space="preserve">Subtotal (excl. VAT)</w:t>
            </w:r>
          </w:p>
        </w:tc>
        <w:tc>
          <w:tcPr/>
          <w:p>
            <w:pPr>
              <w:pStyle w:val="Compact"/>
              <w:jc w:val="left"/>
            </w:pPr>
            <w:r>
              <w:t xml:space="preserve">133,360.00</w:t>
            </w:r>
          </w:p>
        </w:tc>
      </w:tr>
      <w:tr>
        <w:tc>
          <w:tcPr>
            <w:gridSpan w:val="5"/>
          </w:tcPr>
          <w:p>
            <w:pPr>
              <w:pStyle w:val="Compact"/>
              <w:jc w:val="left"/>
            </w:pPr>
            <w:r>
              <w:t xml:space="preserve">VAT @ 21% (Belgian Standard Rate)</w:t>
            </w:r>
          </w:p>
        </w:tc>
        <w:tc>
          <w:tcPr/>
          <w:p>
            <w:pPr>
              <w:pStyle w:val="Compact"/>
              <w:jc w:val="left"/>
            </w:pPr>
            <w:r>
              <w:t xml:space="preserve">27,995.60</w:t>
            </w:r>
          </w:p>
        </w:tc>
      </w:tr>
      <w:tr>
        <w:tc>
          <w:tcPr>
            <w:gridSpan w:val="5"/>
          </w:tcPr>
          <w:p>
            <w:pPr>
              <w:pStyle w:val="Compact"/>
              <w:jc w:val="left"/>
            </w:pPr>
            <w:r>
              <w:t xml:space="preserve">Grand Total (incl. VAT)</w:t>
            </w:r>
          </w:p>
        </w:tc>
        <w:tc>
          <w:tcPr/>
          <w:p>
            <w:pPr>
              <w:pStyle w:val="Compact"/>
              <w:jc w:val="left"/>
            </w:pPr>
            <w:r>
              <w:t xml:space="preserve">161,355.60</w:t>
            </w:r>
          </w:p>
        </w:tc>
      </w:tr>
    </w:tbl>
    <w:bookmarkEnd w:id="23"/>
    <w:bookmarkStart w:id="24"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After this period, all fees and rates listed herein are subject to revision based on prevailing market conditions in</w:t>
      </w:r>
      <w:r>
        <w:t xml:space="preserve"> </w:t>
      </w:r>
      <w:r>
        <w:t xml:space="preserve">Belgium Brussels</w:t>
      </w:r>
      <w:r>
        <w:t xml:space="preserve"> </w:t>
      </w:r>
      <w:r>
        <w:t xml:space="preserve">and applicable regulatory changes.</w:t>
      </w:r>
    </w:p>
    <w:p>
      <w:pPr>
        <w:numPr>
          <w:ilvl w:val="0"/>
          <w:numId w:val="1001"/>
        </w:numPr>
        <w:pStyle w:val="Compact"/>
      </w:pPr>
      <w:r>
        <w:t xml:space="preserve">All services described in this</w:t>
      </w:r>
      <w:r>
        <w:t xml:space="preserve"> </w:t>
      </w:r>
      <w:r>
        <w:t xml:space="preserve">Quotation Estimate</w:t>
      </w:r>
      <w:r>
        <w:t xml:space="preserve"> </w:t>
      </w:r>
      <w:r>
        <w:t xml:space="preserve">shall be delivered by a qualified and licensed</w:t>
      </w:r>
      <w:r>
        <w:t xml:space="preserve"> </w:t>
      </w:r>
      <w:r>
        <w:t xml:space="preserve">Banker</w:t>
      </w:r>
      <w:r>
        <w:t xml:space="preserve"> </w:t>
      </w:r>
      <w:r>
        <w:t xml:space="preserve">or team of Bankers employed by Meridian Banking Solutions S.A., operating in full compliance with the Belgian Banking Act of 1991 and the directives of the National Bank of Belgium.</w:t>
      </w:r>
    </w:p>
    <w:p>
      <w:pPr>
        <w:numPr>
          <w:ilvl w:val="0"/>
          <w:numId w:val="1001"/>
        </w:numPr>
        <w:pStyle w:val="Compact"/>
      </w:pPr>
      <w:r>
        <w:t xml:space="preserve">The</w:t>
      </w:r>
      <w:r>
        <w:t xml:space="preserve"> </w:t>
      </w:r>
      <w:r>
        <w:t xml:space="preserve">Banker</w:t>
      </w:r>
      <w:r>
        <w:t xml:space="preserve"> </w:t>
      </w:r>
      <w:r>
        <w:t xml:space="preserve">assigned to your account will be based in our Brussels office and will be available for in-person meetings at your premises within the Brussels-Capital Region, as well as at our headquarters on Av. Louise, 1050 Brussels.</w:t>
      </w:r>
    </w:p>
    <w:p>
      <w:pPr>
        <w:numPr>
          <w:ilvl w:val="0"/>
          <w:numId w:val="1001"/>
        </w:numPr>
        <w:pStyle w:val="Compact"/>
      </w:pPr>
      <w:r>
        <w:t xml:space="preserve">Payment terms: 50% of the total</w:t>
      </w:r>
      <w:r>
        <w:t xml:space="preserve"> </w:t>
      </w:r>
      <w:r>
        <w:t xml:space="preserve">Quotation Estimate</w:t>
      </w:r>
      <w:r>
        <w:t xml:space="preserve"> </w:t>
      </w:r>
      <w:r>
        <w:t xml:space="preserve">value is due upon acceptance of this document and execution of the service agreement. The remaining 50% shall be invoiced on a monthly basis in arrears, payable within thirty (30) days of invoice date via SEPA transfer to our Belgian IBAN.</w:t>
      </w:r>
    </w:p>
    <w:p>
      <w:pPr>
        <w:numPr>
          <w:ilvl w:val="0"/>
          <w:numId w:val="1001"/>
        </w:numPr>
        <w:pStyle w:val="Compact"/>
      </w:pPr>
      <w:r>
        <w:t xml:space="preserve">Any additional services, ad-hoc consultations, or out-of-scope requests beyond those itemised in this</w:t>
      </w:r>
      <w:r>
        <w:t xml:space="preserve"> </w:t>
      </w:r>
      <w:r>
        <w:t xml:space="preserve">Quotation Estimate</w:t>
      </w:r>
      <w:r>
        <w:t xml:space="preserve"> </w:t>
      </w:r>
      <w:r>
        <w:t xml:space="preserve">will be subject to a separate written</w:t>
      </w:r>
      <w:r>
        <w:t xml:space="preserve"> </w:t>
      </w:r>
      <w:r>
        <w:t xml:space="preserve">Quotation Estimate</w:t>
      </w:r>
      <w:r>
        <w:t xml:space="preserve"> </w:t>
      </w:r>
      <w:r>
        <w:t xml:space="preserve">and prior written approval from the client.</w:t>
      </w:r>
    </w:p>
    <w:p>
      <w:pPr>
        <w:numPr>
          <w:ilvl w:val="0"/>
          <w:numId w:val="1001"/>
        </w:numPr>
        <w:pStyle w:val="Compact"/>
      </w:pPr>
      <w:r>
        <w:t xml:space="preserve">This engagement is governed by the laws of the Kingdom of Belgium. Any disputes arising from the interpretation or execution of this</w:t>
      </w:r>
      <w:r>
        <w:t xml:space="preserve"> </w:t>
      </w:r>
      <w:r>
        <w:t xml:space="preserve">Quotation Estimate</w:t>
      </w:r>
      <w:r>
        <w:t xml:space="preserve"> </w:t>
      </w:r>
      <w:r>
        <w:t xml:space="preserve">or the resulting service agreement shall be submitted to the exclusive jurisdiction of the Commercial Court of Brussels.</w:t>
      </w:r>
    </w:p>
    <w:p>
      <w:pPr>
        <w:numPr>
          <w:ilvl w:val="0"/>
          <w:numId w:val="1001"/>
        </w:numPr>
        <w:pStyle w:val="Compact"/>
      </w:pPr>
      <w:r>
        <w:t xml:space="preserve">Confidentiality: All financial data, transaction records, and strategic information shared between the client and our</w:t>
      </w:r>
      <w:r>
        <w:t xml:space="preserve"> </w:t>
      </w:r>
      <w:r>
        <w:t xml:space="preserve">Banker</w:t>
      </w:r>
      <w:r>
        <w:t xml:space="preserve"> </w:t>
      </w:r>
      <w:r>
        <w:t xml:space="preserve">team in</w:t>
      </w:r>
      <w:r>
        <w:t xml:space="preserve"> </w:t>
      </w:r>
      <w:r>
        <w:t xml:space="preserve">Belgium Brussels</w:t>
      </w:r>
      <w:r>
        <w:t xml:space="preserve"> </w:t>
      </w:r>
      <w:r>
        <w:t xml:space="preserve">shall be treated as strictly confidential in accordance with the Belgian Data Protection Act and the EU General Data Protection Regulation (GDPR).</w:t>
      </w:r>
    </w:p>
    <w:p>
      <w:pPr>
        <w:numPr>
          <w:ilvl w:val="0"/>
          <w:numId w:val="1001"/>
        </w:numPr>
        <w:pStyle w:val="Compact"/>
      </w:pPr>
      <w:r>
        <w:t xml:space="preserve">Termination: Either party may terminate the service agreement with a written notice of sixty (60) days. Upon termination, all outstanding fees as per this</w:t>
      </w:r>
      <w:r>
        <w:t xml:space="preserve"> </w:t>
      </w:r>
      <w:r>
        <w:t xml:space="preserve">Quotation Estimate</w:t>
      </w:r>
      <w:r>
        <w:t xml:space="preserve"> </w:t>
      </w:r>
      <w:r>
        <w:t xml:space="preserve">for services rendered up to the termination date shall remain payable.</w:t>
      </w:r>
    </w:p>
    <w:p>
      <w:pPr>
        <w:numPr>
          <w:ilvl w:val="0"/>
          <w:numId w:val="1001"/>
        </w:numPr>
        <w:pStyle w:val="Compact"/>
      </w:pPr>
      <w:r>
        <w:t xml:space="preserve">This</w:t>
      </w:r>
      <w:r>
        <w:t xml:space="preserve"> </w:t>
      </w:r>
      <w:r>
        <w:t xml:space="preserve">Quotation Estimate</w:t>
      </w:r>
      <w:r>
        <w:t xml:space="preserve"> </w:t>
      </w:r>
      <w:r>
        <w:t xml:space="preserve">does not guarantee any specific financial return, investment performance, or credit approval. All lending and credit decisions remain subject to the internal risk assessment policies of Meridian Banking Solutions S.A. and the regulatory framework of the National Bank of Belgium.</w:t>
      </w:r>
    </w:p>
    <w:bookmarkEnd w:id="24"/>
    <w:bookmarkStart w:id="25" w:name="acceptance-and-authorisation"/>
    <w:p>
      <w:pPr>
        <w:pStyle w:val="Heading2"/>
      </w:pPr>
      <w:r>
        <w:t xml:space="preserve">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fee structure outlined herein for the engagement of our</w:t>
      </w:r>
      <w:r>
        <w:t xml:space="preserve"> </w:t>
      </w:r>
      <w:r>
        <w:t xml:space="preserve">Banker</w:t>
      </w:r>
      <w:r>
        <w:t xml:space="preserve"> </w:t>
      </w:r>
      <w:r>
        <w:t xml:space="preserve">services in</w:t>
      </w:r>
      <w:r>
        <w:t xml:space="preserve"> </w:t>
      </w:r>
      <w:r>
        <w:t xml:space="preserve">Belgium Brussels</w:t>
      </w:r>
      <w:r>
        <w:t xml:space="preserve">. This signature constitutes formal acceptance and authorises Meridian Banking Solutions S.A. to commence the services as described.</w:t>
      </w:r>
    </w:p>
    <w:p>
      <w:pPr>
        <w:pStyle w:val="BodyText"/>
      </w:pPr>
      <w:r>
        <w:rPr>
          <w:bCs/>
          <w:b/>
        </w:rPr>
        <w:t xml:space="preserve">For and on behalf of the Client</w:t>
      </w:r>
    </w:p>
    <w:p>
      <w:pPr>
        <w:pStyle w:val="BodyText"/>
      </w:pPr>
      <w:r>
        <w:t xml:space="preserve">Name: ____________________________</w:t>
      </w:r>
    </w:p>
    <w:p>
      <w:pPr>
        <w:pStyle w:val="BodyText"/>
      </w:pPr>
      <w:r>
        <w:t xml:space="preserve">Title: ____________________________</w:t>
      </w:r>
    </w:p>
    <w:p>
      <w:pPr>
        <w:pStyle w:val="BodyText"/>
      </w:pPr>
      <w:r>
        <w:t xml:space="preserve">Date: ____________________________</w:t>
      </w:r>
    </w:p>
    <w:p>
      <w:pPr>
        <w:pStyle w:val="BodyText"/>
      </w:pPr>
      <w:r>
        <w:t xml:space="preserve">Signature &amp; Company Stamp:</w:t>
      </w:r>
    </w:p>
    <w:p>
      <w:pPr>
        <w:pStyle w:val="BodyText"/>
      </w:pPr>
      <w:r>
        <w:br/>
      </w:r>
      <w:r>
        <w:br/>
      </w:r>
    </w:p>
    <w:p>
      <w:pPr>
        <w:pStyle w:val="BodyText"/>
      </w:pPr>
      <w:r>
        <w:rPr>
          <w:bCs/>
          <w:b/>
        </w:rPr>
        <w:t xml:space="preserve">For and on behalf of Meridian Banking Solutions S.A.</w:t>
      </w:r>
    </w:p>
    <w:p>
      <w:pPr>
        <w:pStyle w:val="BodyText"/>
      </w:pPr>
      <w:r>
        <w:t xml:space="preserve">Name: Hendrik Van den Berg</w:t>
      </w:r>
    </w:p>
    <w:p>
      <w:pPr>
        <w:pStyle w:val="BodyText"/>
      </w:pPr>
      <w:r>
        <w:t xml:space="preserve">Title: Senior Banker &amp; Head of Corporate Advisory</w:t>
      </w:r>
    </w:p>
    <w:p>
      <w:pPr>
        <w:pStyle w:val="BodyText"/>
      </w:pPr>
      <w:r>
        <w:t xml:space="preserve">Date: 14 June 2025</w:t>
      </w:r>
    </w:p>
    <w:p>
      <w:pPr>
        <w:pStyle w:val="BodyText"/>
      </w:pPr>
      <w:r>
        <w:t xml:space="preserve">Signature &amp; Company Stamp:</w:t>
      </w:r>
    </w:p>
    <w:p>
      <w:pPr>
        <w:pStyle w:val="BodyText"/>
      </w:pPr>
      <w:r>
        <w:br/>
      </w:r>
      <w:r>
        <w:br/>
      </w:r>
    </w:p>
    <w:p>
      <w:pPr>
        <w:pStyle w:val="BodyText"/>
      </w:pPr>
      <w:r>
        <w:t xml:space="preserve">Meridian Banking Solutions S.A. | Av. Louise 245, 1050 Brussels, Belgium | VAT BE 0765.432.109</w:t>
      </w:r>
    </w:p>
    <w:p>
      <w:pPr>
        <w:pStyle w:val="BodyText"/>
      </w:pPr>
      <w:r>
        <w:t xml:space="preserve">Regulated by the National Bank of Belgium (NBB) | Member of the Belgian Banking Association (ABBL)</w:t>
      </w:r>
    </w:p>
    <w:p>
      <w:pPr>
        <w:pStyle w:val="BodyText"/>
      </w:pPr>
      <w:r>
        <w:t xml:space="preserve">This Quotation Estimate is a confidential document intended solely for the named client. Unauthorised reproduction or distribution is prohibited.</w:t>
      </w:r>
    </w:p>
    <w:p>
      <w:pPr>
        <w:pStyle w:val="BodyText"/>
      </w:pPr>
      <w:r>
        <w:t xml:space="preserve">Document Reference: QTE-BRUX-2025-04871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Belgium Brussels</dc:title>
  <dc:creator/>
  <dc:language>en</dc:language>
  <cp:keywords/>
  <dcterms:created xsi:type="dcterms:W3CDTF">2026-10-10T06:49:04Z</dcterms:created>
  <dcterms:modified xsi:type="dcterms:W3CDTF">2026-10-10T06:49:04Z</dcterms:modified>
</cp:coreProperties>
</file>

<file path=docProps/custom.xml><?xml version="1.0" encoding="utf-8"?>
<Properties xmlns="http://schemas.openxmlformats.org/officeDocument/2006/custom-properties" xmlns:vt="http://schemas.openxmlformats.org/officeDocument/2006/docPropsVTypes"/>
</file>