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Banker Services &amp; Financial Advisory Solutions</w:t>
      </w:r>
    </w:p>
    <w:p>
      <w:pPr>
        <w:pStyle w:val="BodyText"/>
      </w:pPr>
      <w:r>
        <w:t xml:space="preserve">Serving the Federal District — Brazil, Brasília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QTE-BRK-2025-04782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By</w:t>
            </w:r>
          </w:p>
        </w:tc>
        <w:tc>
          <w:tcPr/>
          <w:p>
            <w:pPr>
              <w:pStyle w:val="Compact"/>
              <w:jc w:val="left"/>
            </w:pPr>
            <w:r>
              <w:t xml:space="preserve">Brasília Financial Advisory Group Ltda. — Setor Bancário Sul (SBS), Quadra 1, Bloco A, Sala 1204, Brasília — DF, CEP 70070-120, Brazil</w:t>
            </w:r>
          </w:p>
        </w:tc>
      </w:tr>
      <w:tr>
        <w:tc>
          <w:tcPr/>
          <w:p>
            <w:pPr>
              <w:pStyle w:val="Compact"/>
              <w:jc w:val="left"/>
            </w:pPr>
            <w:r>
              <w:t xml:space="preserve">Prepared For</w:t>
            </w:r>
          </w:p>
        </w:tc>
        <w:tc>
          <w:tcPr/>
          <w:p>
            <w:pPr>
              <w:pStyle w:val="Compact"/>
              <w:jc w:val="left"/>
            </w:pPr>
            <w:r>
              <w:t xml:space="preserve">Client Name / Corporate Entity (to be confirmed upon acceptance)</w:t>
            </w:r>
          </w:p>
        </w:tc>
      </w:tr>
      <w:tr>
        <w:tc>
          <w:tcPr/>
          <w:p>
            <w:pPr>
              <w:pStyle w:val="Compact"/>
              <w:jc w:val="left"/>
            </w:pPr>
            <w:r>
              <w:t xml:space="preserve">Service Location</w:t>
            </w:r>
          </w:p>
        </w:tc>
        <w:tc>
          <w:tcPr/>
          <w:p>
            <w:pPr>
              <w:pStyle w:val="Compact"/>
              <w:jc w:val="left"/>
            </w:pPr>
            <w:r>
              <w:t xml:space="preserve">Brasília, Distrito Federal, Brazil</w:t>
            </w:r>
          </w:p>
        </w:tc>
      </w:tr>
      <w:tr>
        <w:tc>
          <w:tcPr/>
          <w:p>
            <w:pPr>
              <w:pStyle w:val="Compact"/>
              <w:jc w:val="left"/>
            </w:pPr>
            <w:r>
              <w:t xml:space="preserve">Currency</w:t>
            </w:r>
          </w:p>
        </w:tc>
        <w:tc>
          <w:tcPr/>
          <w:p>
            <w:pPr>
              <w:pStyle w:val="Compact"/>
              <w:jc w:val="left"/>
            </w:pPr>
            <w:r>
              <w:t xml:space="preserve">Brazilian Real (BRL — R$)</w:t>
            </w:r>
          </w:p>
        </w:tc>
      </w:tr>
    </w:tbl>
    <w:bookmarkStart w:id="21" w:name="scope-of-quotation-estimate"/>
    <w:p>
      <w:pPr>
        <w:pStyle w:val="Heading2"/>
      </w:pPr>
      <w:r>
        <w:t xml:space="preserve">1. Scope of Quotation Estimate</w:t>
      </w:r>
    </w:p>
    <w:p>
      <w:pPr>
        <w:pStyle w:val="FirstParagraph"/>
      </w:pPr>
      <w:r>
        <w:t xml:space="preserve">This</w:t>
      </w:r>
      <w:r>
        <w:t xml:space="preserve"> </w:t>
      </w:r>
      <w:r>
        <w:t xml:space="preserve">Quotation Estimate</w:t>
      </w:r>
      <w:r>
        <w:t xml:space="preserve"> </w:t>
      </w:r>
      <w:r>
        <w:t xml:space="preserve">is issued by Brasília Financial Advisory Group Ltda. to provide a comprehensive and itemized financial projection for the engagement of a</w:t>
      </w:r>
      <w:r>
        <w:t xml:space="preserve"> </w:t>
      </w:r>
      <w:r>
        <w:t xml:space="preserve">Banker</w:t>
      </w:r>
      <w:r>
        <w:t xml:space="preserve"> </w:t>
      </w:r>
      <w:r>
        <w:t xml:space="preserve">and associated financial advisory services to be delivered within the city of</w:t>
      </w:r>
      <w:r>
        <w:t xml:space="preserve"> </w:t>
      </w:r>
      <w:r>
        <w:t xml:space="preserve">Brazil Brasília</w:t>
      </w:r>
      <w:r>
        <w:t xml:space="preserve">, the Federal District of the Federative Republic of Brazil. The scope encompasses the full spectrum of professional banking operations, corporate treasury management, regulatory compliance advisory, and strategic financial planning tailored to the unique economic and legislative environment of Brasília, the seat of the Brazilian federal government.</w:t>
      </w:r>
    </w:p>
    <w:p>
      <w:pPr>
        <w:pStyle w:val="BodyText"/>
      </w:pPr>
      <w:r>
        <w:t xml:space="preserve">The</w:t>
      </w:r>
      <w:r>
        <w:t xml:space="preserve"> </w:t>
      </w:r>
      <w:r>
        <w:t xml:space="preserve">Banker</w:t>
      </w:r>
      <w:r>
        <w:t xml:space="preserve"> </w:t>
      </w:r>
      <w:r>
        <w:t xml:space="preserve">services outlined in this estimate are designed to meet the specific operational, regulatory, and commercial requirements of clients operating in or transacting with Brasília. Given that Brasília houses the Brazilian Central Bank (Banco Central do Brasil), the National Treasury, and numerous federal regulatory agencies, the</w:t>
      </w:r>
      <w:r>
        <w:t xml:space="preserve"> </w:t>
      </w:r>
      <w:r>
        <w:t xml:space="preserve">Banker</w:t>
      </w:r>
      <w:r>
        <w:t xml:space="preserve"> </w:t>
      </w:r>
      <w:r>
        <w:t xml:space="preserve">engagement includes specialized knowledge of local financial regulations, intergovernmental fiscal policies, and the particularities of the Distrito Federal banking ecosystem.</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Banker Service</w:t>
            </w:r>
          </w:p>
        </w:tc>
        <w:tc>
          <w:tcPr/>
          <w:p>
            <w:pPr>
              <w:pStyle w:val="Compact"/>
              <w:jc w:val="left"/>
            </w:pPr>
            <w:r>
              <w:t xml:space="preserve">Duration / Qty</w:t>
            </w:r>
          </w:p>
        </w:tc>
        <w:tc>
          <w:tcPr/>
          <w:p>
            <w:pPr>
              <w:pStyle w:val="Compact"/>
              <w:jc w:val="left"/>
            </w:pPr>
            <w:r>
              <w:t xml:space="preserve">Unit Cost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Senior Banker — Corporate Treasury Management &amp; Cash Flow Optimization in Brasília</w:t>
            </w:r>
          </w:p>
        </w:tc>
        <w:tc>
          <w:tcPr/>
          <w:p>
            <w:pPr>
              <w:pStyle w:val="Compact"/>
              <w:jc w:val="left"/>
            </w:pPr>
            <w:r>
              <w:t xml:space="preserve">12 months</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Banker Advisory — Regulatory Compliance with Banco Central do Brasil (BACEN) and CVM Standards</w:t>
            </w:r>
          </w:p>
        </w:tc>
        <w:tc>
          <w:tcPr/>
          <w:p>
            <w:pPr>
              <w:pStyle w:val="Compact"/>
              <w:jc w:val="left"/>
            </w:pPr>
            <w:r>
              <w:t xml:space="preserve">12 months</w:t>
            </w:r>
          </w:p>
        </w:tc>
        <w:tc>
          <w:tcPr/>
          <w:p>
            <w:pPr>
              <w:pStyle w:val="Compact"/>
              <w:jc w:val="left"/>
            </w:pPr>
            <w:r>
              <w:t xml:space="preserve">R$ 9,200.00</w:t>
            </w:r>
          </w:p>
        </w:tc>
        <w:tc>
          <w:tcPr/>
          <w:p>
            <w:pPr>
              <w:pStyle w:val="Compact"/>
              <w:jc w:val="left"/>
            </w:pPr>
            <w:r>
              <w:t xml:space="preserve">R$ 110,400.00</w:t>
            </w:r>
          </w:p>
        </w:tc>
      </w:tr>
      <w:tr>
        <w:tc>
          <w:tcPr/>
          <w:p>
            <w:pPr>
              <w:pStyle w:val="Compact"/>
              <w:jc w:val="left"/>
            </w:pPr>
            <w:r>
              <w:t xml:space="preserve">03</w:t>
            </w:r>
          </w:p>
        </w:tc>
        <w:tc>
          <w:tcPr/>
          <w:p>
            <w:pPr>
              <w:pStyle w:val="Compact"/>
              <w:jc w:val="left"/>
            </w:pPr>
            <w:r>
              <w:t xml:space="preserve">Banker Facilitation — Interbank Negotiations &amp; Credit Line Structuring (Brasília Financial District)</w:t>
            </w:r>
          </w:p>
        </w:tc>
        <w:tc>
          <w:tcPr/>
          <w:p>
            <w:pPr>
              <w:pStyle w:val="Compact"/>
              <w:jc w:val="left"/>
            </w:pPr>
            <w:r>
              <w:t xml:space="preserve">6 months</w:t>
            </w:r>
          </w:p>
        </w:tc>
        <w:tc>
          <w:tcPr/>
          <w:p>
            <w:pPr>
              <w:pStyle w:val="Compact"/>
              <w:jc w:val="left"/>
            </w:pPr>
            <w:r>
              <w:t xml:space="preserve">R$ 12,800.00</w:t>
            </w:r>
          </w:p>
        </w:tc>
        <w:tc>
          <w:tcPr/>
          <w:p>
            <w:pPr>
              <w:pStyle w:val="Compact"/>
              <w:jc w:val="left"/>
            </w:pPr>
            <w:r>
              <w:t xml:space="preserve">R$ 76,800.00</w:t>
            </w:r>
          </w:p>
        </w:tc>
      </w:tr>
      <w:tr>
        <w:tc>
          <w:tcPr/>
          <w:p>
            <w:pPr>
              <w:pStyle w:val="Compact"/>
              <w:jc w:val="left"/>
            </w:pPr>
            <w:r>
              <w:t xml:space="preserve">04</w:t>
            </w:r>
          </w:p>
        </w:tc>
        <w:tc>
          <w:tcPr/>
          <w:p>
            <w:pPr>
              <w:pStyle w:val="Compact"/>
              <w:jc w:val="left"/>
            </w:pPr>
            <w:r>
              <w:t xml:space="preserve">Banker Representation — On-site Presence at SBS (Setor Bancário Sul), Brasília — DF</w:t>
            </w:r>
          </w:p>
        </w:tc>
        <w:tc>
          <w:tcPr/>
          <w:p>
            <w:pPr>
              <w:pStyle w:val="Compact"/>
              <w:jc w:val="left"/>
            </w:pPr>
            <w:r>
              <w:t xml:space="preserve">12 months</w:t>
            </w:r>
          </w:p>
        </w:tc>
        <w:tc>
          <w:tcPr/>
          <w:p>
            <w:pPr>
              <w:pStyle w:val="Compact"/>
              <w:jc w:val="left"/>
            </w:pPr>
            <w:r>
              <w:t xml:space="preserve">R$ 7,400.00</w:t>
            </w:r>
          </w:p>
        </w:tc>
        <w:tc>
          <w:tcPr/>
          <w:p>
            <w:pPr>
              <w:pStyle w:val="Compact"/>
              <w:jc w:val="left"/>
            </w:pPr>
            <w:r>
              <w:t xml:space="preserve">R$ 88,800.00</w:t>
            </w:r>
          </w:p>
        </w:tc>
      </w:tr>
      <w:tr>
        <w:tc>
          <w:tcPr/>
          <w:p>
            <w:pPr>
              <w:pStyle w:val="Compact"/>
              <w:jc w:val="left"/>
            </w:pPr>
            <w:r>
              <w:t xml:space="preserve">05</w:t>
            </w:r>
          </w:p>
        </w:tc>
        <w:tc>
          <w:tcPr/>
          <w:p>
            <w:pPr>
              <w:pStyle w:val="Compact"/>
              <w:jc w:val="left"/>
            </w:pPr>
            <w:r>
              <w:t xml:space="preserve">Banker Reporting — Monthly Financial Statements, Risk Assessment &amp; Strategic Recommendations</w:t>
            </w:r>
          </w:p>
        </w:tc>
        <w:tc>
          <w:tcPr/>
          <w:p>
            <w:pPr>
              <w:pStyle w:val="Compact"/>
              <w:jc w:val="left"/>
            </w:pPr>
            <w:r>
              <w:t xml:space="preserve">12 reports</w:t>
            </w:r>
          </w:p>
        </w:tc>
        <w:tc>
          <w:tcPr/>
          <w:p>
            <w:pPr>
              <w:pStyle w:val="Compact"/>
              <w:jc w:val="left"/>
            </w:pPr>
            <w:r>
              <w:t xml:space="preserve">R$ 3,600.00</w:t>
            </w:r>
          </w:p>
        </w:tc>
        <w:tc>
          <w:tcPr/>
          <w:p>
            <w:pPr>
              <w:pStyle w:val="Compact"/>
              <w:jc w:val="left"/>
            </w:pPr>
            <w:r>
              <w:t xml:space="preserve">R$ 43,200.00</w:t>
            </w:r>
          </w:p>
        </w:tc>
      </w:tr>
      <w:tr>
        <w:tc>
          <w:tcPr/>
          <w:p>
            <w:pPr>
              <w:pStyle w:val="Compact"/>
              <w:jc w:val="left"/>
            </w:pPr>
            <w:r>
              <w:t xml:space="preserve">06</w:t>
            </w:r>
          </w:p>
        </w:tc>
        <w:tc>
          <w:tcPr/>
          <w:p>
            <w:pPr>
              <w:pStyle w:val="Compact"/>
              <w:jc w:val="left"/>
            </w:pPr>
            <w:r>
              <w:t xml:space="preserve">Banker Support — Foreign Exchange Operations &amp; International Remittance Coordination</w:t>
            </w:r>
          </w:p>
        </w:tc>
        <w:tc>
          <w:tcPr/>
          <w:p>
            <w:pPr>
              <w:pStyle w:val="Compact"/>
              <w:jc w:val="left"/>
            </w:pPr>
            <w:r>
              <w:t xml:space="preserve">12 months</w:t>
            </w:r>
          </w:p>
        </w:tc>
        <w:tc>
          <w:tcPr/>
          <w:p>
            <w:pPr>
              <w:pStyle w:val="Compact"/>
              <w:jc w:val="left"/>
            </w:pPr>
            <w:r>
              <w:t xml:space="preserve">R$ 5,900.00</w:t>
            </w:r>
          </w:p>
        </w:tc>
        <w:tc>
          <w:tcPr/>
          <w:p>
            <w:pPr>
              <w:pStyle w:val="Compact"/>
              <w:jc w:val="left"/>
            </w:pPr>
            <w:r>
              <w:t xml:space="preserve">R$ 70,800.00</w:t>
            </w:r>
          </w:p>
        </w:tc>
      </w:tr>
      <w:tr>
        <w:tc>
          <w:tcPr/>
          <w:p>
            <w:pPr>
              <w:pStyle w:val="Compact"/>
              <w:jc w:val="left"/>
            </w:pPr>
            <w:r>
              <w:t xml:space="preserve">07</w:t>
            </w:r>
          </w:p>
        </w:tc>
        <w:tc>
          <w:tcPr/>
          <w:p>
            <w:pPr>
              <w:pStyle w:val="Compact"/>
              <w:jc w:val="left"/>
            </w:pPr>
            <w:r>
              <w:t xml:space="preserve">Banker Training — Internal Staff Development on Brasília-Specific Banking Protocols</w:t>
            </w:r>
          </w:p>
        </w:tc>
        <w:tc>
          <w:tcPr/>
          <w:p>
            <w:pPr>
              <w:pStyle w:val="Compact"/>
              <w:jc w:val="left"/>
            </w:pPr>
            <w:r>
              <w:t xml:space="preserve">4 sessions</w:t>
            </w:r>
          </w:p>
        </w:tc>
        <w:tc>
          <w:tcPr/>
          <w:p>
            <w:pPr>
              <w:pStyle w:val="Compact"/>
              <w:jc w:val="left"/>
            </w:pPr>
            <w:r>
              <w:t xml:space="preserve">R$ 4,200.00</w:t>
            </w:r>
          </w:p>
        </w:tc>
        <w:tc>
          <w:tcPr/>
          <w:p>
            <w:pPr>
              <w:pStyle w:val="Compact"/>
              <w:jc w:val="left"/>
            </w:pPr>
            <w:r>
              <w:t xml:space="preserve">R$ 16,800.00</w:t>
            </w:r>
          </w:p>
        </w:tc>
      </w:tr>
      <w:tr>
        <w:tc>
          <w:tcPr/>
          <w:p>
            <w:pPr>
              <w:pStyle w:val="Compact"/>
              <w:jc w:val="left"/>
            </w:pPr>
            <w:r>
              <w:t xml:space="preserve">08</w:t>
            </w:r>
          </w:p>
        </w:tc>
        <w:tc>
          <w:tcPr/>
          <w:p>
            <w:pPr>
              <w:pStyle w:val="Compact"/>
              <w:jc w:val="left"/>
            </w:pPr>
            <w:r>
              <w:t xml:space="preserve">Banker Contingency — Emergency Liquidity Planning &amp; Crisis Response (Brasília Operations)</w:t>
            </w:r>
          </w:p>
        </w:tc>
        <w:tc>
          <w:tcPr/>
          <w:p>
            <w:pPr>
              <w:pStyle w:val="Compact"/>
              <w:jc w:val="left"/>
            </w:pPr>
            <w:r>
              <w:t xml:space="preserve">12 months</w:t>
            </w:r>
          </w:p>
        </w:tc>
        <w:tc>
          <w:tcPr/>
          <w:p>
            <w:pPr>
              <w:pStyle w:val="Compact"/>
              <w:jc w:val="left"/>
            </w:pPr>
            <w:r>
              <w:t xml:space="preserve">R$ 6,100.00</w:t>
            </w:r>
          </w:p>
        </w:tc>
        <w:tc>
          <w:tcPr/>
          <w:p>
            <w:pPr>
              <w:pStyle w:val="Compact"/>
              <w:jc w:val="left"/>
            </w:pPr>
            <w:r>
              <w:t xml:space="preserve">R$ 73,200.00</w:t>
            </w:r>
          </w:p>
        </w:tc>
      </w:tr>
      <w:tr>
        <w:tc>
          <w:tcPr>
            <w:gridSpan w:val="4"/>
          </w:tcPr>
          <w:p>
            <w:pPr>
              <w:pStyle w:val="Compact"/>
              <w:jc w:val="right"/>
            </w:pPr>
            <w:r>
              <w:t xml:space="preserve">SUBTOTAL (BRL)</w:t>
            </w:r>
          </w:p>
        </w:tc>
        <w:tc>
          <w:tcPr/>
          <w:p>
            <w:pPr>
              <w:pStyle w:val="Compact"/>
              <w:jc w:val="left"/>
            </w:pPr>
            <w:r>
              <w:t xml:space="preserve">R$ 702,000.00</w:t>
            </w:r>
          </w:p>
        </w:tc>
      </w:tr>
      <w:tr>
        <w:tc>
          <w:tcPr>
            <w:gridSpan w:val="4"/>
          </w:tcPr>
          <w:p>
            <w:pPr>
              <w:pStyle w:val="Compact"/>
              <w:jc w:val="right"/>
            </w:pPr>
            <w:r>
              <w:t xml:space="preserve">Applicable Taxes &amp; Fees (ISS Brasília — 2.0%)</w:t>
            </w:r>
          </w:p>
        </w:tc>
        <w:tc>
          <w:tcPr/>
          <w:p>
            <w:pPr>
              <w:pStyle w:val="Compact"/>
              <w:jc w:val="left"/>
            </w:pPr>
            <w:r>
              <w:t xml:space="preserve">R$ 14,040.00</w:t>
            </w:r>
          </w:p>
        </w:tc>
      </w:tr>
      <w:tr>
        <w:tc>
          <w:tcPr>
            <w:gridSpan w:val="4"/>
          </w:tcPr>
          <w:p>
            <w:pPr>
              <w:pStyle w:val="Compact"/>
              <w:jc w:val="right"/>
            </w:pPr>
            <w:r>
              <w:t xml:space="preserve">GRAND TOTAL (BRL)</w:t>
            </w:r>
          </w:p>
        </w:tc>
        <w:tc>
          <w:tcPr/>
          <w:p>
            <w:pPr>
              <w:pStyle w:val="Compact"/>
              <w:jc w:val="left"/>
            </w:pPr>
            <w:r>
              <w:t xml:space="preserve">R$ 716,040.00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 This</w:t>
      </w:r>
      <w:r>
        <w:t xml:space="preserve"> </w:t>
      </w:r>
      <w:r>
        <w:t xml:space="preserve">Quotation Estimate</w:t>
      </w:r>
      <w:r>
        <w:t xml:space="preserve"> </w:t>
      </w:r>
      <w:r>
        <w:t xml:space="preserve">is a non-binding financial projection and does not constitute a formal contract until countersigned by both parties. All</w:t>
      </w:r>
      <w:r>
        <w:t xml:space="preserve"> </w:t>
      </w:r>
      <w:r>
        <w:t xml:space="preserve">Banker</w:t>
      </w:r>
      <w:r>
        <w:t xml:space="preserve"> </w:t>
      </w:r>
      <w:r>
        <w:t xml:space="preserve">services described herein are subject to final agreement on scope, deliverables, and performance metrics.</w:t>
      </w:r>
    </w:p>
    <w:p>
      <w:pPr>
        <w:numPr>
          <w:ilvl w:val="0"/>
          <w:numId w:val="1001"/>
        </w:numPr>
        <w:pStyle w:val="Compact"/>
      </w:pPr>
      <w:r>
        <w:rPr>
          <w:bCs/>
          <w:b/>
        </w:rPr>
        <w:t xml:space="preserve">3.2</w:t>
      </w:r>
      <w:r>
        <w:t xml:space="preserve"> </w:t>
      </w:r>
      <w:r>
        <w:t xml:space="preserve">— All monetary values are expressed in Brazilian Reais (BRL) and are subject to adjustment in the event of significant fluctuations in the Selic rate or the Interbank Deposit Rate (DI) as published by the Banco Central do Brasil during the validity period of this estimate.</w:t>
      </w:r>
    </w:p>
    <w:p>
      <w:pPr>
        <w:numPr>
          <w:ilvl w:val="0"/>
          <w:numId w:val="1001"/>
        </w:numPr>
        <w:pStyle w:val="Compact"/>
      </w:pPr>
      <w:r>
        <w:rPr>
          <w:bCs/>
          <w:b/>
        </w:rPr>
        <w:t xml:space="preserve">3.3</w:t>
      </w:r>
      <w:r>
        <w:t xml:space="preserve"> </w:t>
      </w:r>
      <w:r>
        <w:t xml:space="preserve">— The</w:t>
      </w:r>
      <w:r>
        <w:t xml:space="preserve"> </w:t>
      </w:r>
      <w:r>
        <w:t xml:space="preserve">Banker</w:t>
      </w:r>
      <w:r>
        <w:t xml:space="preserve"> </w:t>
      </w:r>
      <w:r>
        <w:t xml:space="preserve">engagement will be physically based in Brasília, Distrito Federal, with primary operations conducted at the Setor Bancário Sul (SBS) financial district. Remote and hybrid service delivery options may be negotiated at no additional cost.</w:t>
      </w:r>
    </w:p>
    <w:p>
      <w:pPr>
        <w:numPr>
          <w:ilvl w:val="0"/>
          <w:numId w:val="1001"/>
        </w:numPr>
        <w:pStyle w:val="Compact"/>
      </w:pPr>
      <w:r>
        <w:rPr>
          <w:bCs/>
          <w:b/>
        </w:rPr>
        <w:t xml:space="preserve">3.4</w:t>
      </w:r>
      <w:r>
        <w:t xml:space="preserve"> </w:t>
      </w:r>
      <w:r>
        <w:t xml:space="preserve">— Payment terms: 30% advance upon contract execution, 40% at the six-month milestone, and 30% upon completion of the twelve-month service period. All payments shall be made via TED transfer to the account designated by Brasília Financial Advisory Group Ltda.</w:t>
      </w:r>
    </w:p>
    <w:p>
      <w:pPr>
        <w:numPr>
          <w:ilvl w:val="0"/>
          <w:numId w:val="1001"/>
        </w:numPr>
        <w:pStyle w:val="Compact"/>
      </w:pPr>
      <w:r>
        <w:rPr>
          <w:bCs/>
          <w:b/>
        </w:rPr>
        <w:t xml:space="preserve">3.5</w:t>
      </w:r>
      <w:r>
        <w:t xml:space="preserve"> </w:t>
      </w:r>
      <w:r>
        <w:t xml:space="preserve">— This</w:t>
      </w:r>
      <w:r>
        <w:t xml:space="preserve"> </w:t>
      </w:r>
      <w:r>
        <w:t xml:space="preserve">Quotation Estimate</w:t>
      </w:r>
      <w:r>
        <w:t xml:space="preserve"> </w:t>
      </w:r>
      <w:r>
        <w:t xml:space="preserve">is valid for thirty (30) calendar days from the date of issue. Beyond this period, all costs associated with the</w:t>
      </w:r>
      <w:r>
        <w:t xml:space="preserve"> </w:t>
      </w:r>
      <w:r>
        <w:t xml:space="preserve">Banker</w:t>
      </w:r>
      <w:r>
        <w:t xml:space="preserve"> </w:t>
      </w:r>
      <w:r>
        <w:t xml:space="preserve">services in</w:t>
      </w:r>
      <w:r>
        <w:t xml:space="preserve"> </w:t>
      </w:r>
      <w:r>
        <w:t xml:space="preserve">Brazil Brasília</w:t>
      </w:r>
      <w:r>
        <w:t xml:space="preserve"> </w:t>
      </w:r>
      <w:r>
        <w:t xml:space="preserve">shall be re-evaluated and a revised estimate shall be issued.</w:t>
      </w:r>
    </w:p>
    <w:p>
      <w:pPr>
        <w:numPr>
          <w:ilvl w:val="0"/>
          <w:numId w:val="1001"/>
        </w:numPr>
        <w:pStyle w:val="Compact"/>
      </w:pPr>
      <w:r>
        <w:rPr>
          <w:bCs/>
          <w:b/>
        </w:rPr>
        <w:t xml:space="preserve">3.6</w:t>
      </w:r>
      <w:r>
        <w:t xml:space="preserve"> </w:t>
      </w:r>
      <w:r>
        <w:t xml:space="preserve">— The</w:t>
      </w:r>
      <w:r>
        <w:t xml:space="preserve"> </w:t>
      </w:r>
      <w:r>
        <w:t xml:space="preserve">Banker</w:t>
      </w:r>
      <w:r>
        <w:t xml:space="preserve"> </w:t>
      </w:r>
      <w:r>
        <w:t xml:space="preserve">and all associated personnel shall comply with all applicable Brazilian financial regulations, including those issued by BACEN, CVM, COAF, and the specific municipal ordinances of the Distrito Federal of Brasília.</w:t>
      </w:r>
    </w:p>
    <w:p>
      <w:pPr>
        <w:numPr>
          <w:ilvl w:val="0"/>
          <w:numId w:val="1001"/>
        </w:numPr>
        <w:pStyle w:val="Compact"/>
      </w:pPr>
      <w:r>
        <w:rPr>
          <w:bCs/>
          <w:b/>
        </w:rPr>
        <w:t xml:space="preserve">3.7</w:t>
      </w:r>
      <w:r>
        <w:t xml:space="preserve"> </w:t>
      </w:r>
      <w:r>
        <w:t xml:space="preserve">— Confidentiality: All financial data, client information, and strategic documents shared during the</w:t>
      </w:r>
      <w:r>
        <w:t xml:space="preserve"> </w:t>
      </w:r>
      <w:r>
        <w:t xml:space="preserve">Banker</w:t>
      </w:r>
      <w:r>
        <w:t xml:space="preserve"> </w:t>
      </w:r>
      <w:r>
        <w:t xml:space="preserve">engagement in Brasília shall be treated under strict confidentiality in accordance with Brazil's General Data Protection Law (LGPD — Lei Geral de Proteção de Dados, Law No. 13,709/2018).</w:t>
      </w:r>
    </w:p>
    <w:p>
      <w:pPr>
        <w:numPr>
          <w:ilvl w:val="0"/>
          <w:numId w:val="1001"/>
        </w:numPr>
        <w:pStyle w:val="Compact"/>
      </w:pPr>
      <w:r>
        <w:rPr>
          <w:bCs/>
          <w:b/>
        </w:rPr>
        <w:t xml:space="preserve">3.8</w:t>
      </w:r>
      <w:r>
        <w:t xml:space="preserve"> </w:t>
      </w:r>
      <w:r>
        <w:t xml:space="preserve">— Termination: Either party may terminate the</w:t>
      </w:r>
      <w:r>
        <w:t xml:space="preserve"> </w:t>
      </w:r>
      <w:r>
        <w:t xml:space="preserve">Banker</w:t>
      </w:r>
      <w:r>
        <w:t xml:space="preserve"> </w:t>
      </w:r>
      <w:r>
        <w:t xml:space="preserve">service agreement with sixty (60) days' written notice. In the event of early termination, pro-rated fees for services rendered up to the termination date shall be due.</w:t>
      </w:r>
    </w:p>
    <w:p>
      <w:pPr>
        <w:numPr>
          <w:ilvl w:val="0"/>
          <w:numId w:val="1001"/>
        </w:numPr>
        <w:pStyle w:val="Compact"/>
      </w:pPr>
      <w:r>
        <w:rPr>
          <w:bCs/>
          <w:b/>
        </w:rPr>
        <w:t xml:space="preserve">3.9</w:t>
      </w:r>
      <w:r>
        <w:t xml:space="preserve"> </w:t>
      </w:r>
      <w:r>
        <w:t xml:space="preserve">— Governing Law: This</w:t>
      </w:r>
      <w:r>
        <w:t xml:space="preserve"> </w:t>
      </w:r>
      <w:r>
        <w:t xml:space="preserve">Quotation Estimate</w:t>
      </w:r>
      <w:r>
        <w:t xml:space="preserve"> </w:t>
      </w:r>
      <w:r>
        <w:t xml:space="preserve">and any resulting contract shall be governed by the laws of the Federative Republic of Brazil, with jurisdiction vested in the courts of Brasília, Distrito Federal.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Banker</w:t>
      </w:r>
      <w:r>
        <w:t xml:space="preserve"> </w:t>
      </w:r>
      <w:r>
        <w:t xml:space="preserve">services in</w:t>
      </w:r>
      <w:r>
        <w:t xml:space="preserve"> </w:t>
      </w:r>
      <w:r>
        <w:t xml:space="preserve">Brazil Brasília</w:t>
      </w:r>
      <w:r>
        <w:t xml:space="preserve"> </w:t>
      </w:r>
      <w:r>
        <w:t xml:space="preserve">and agrees to the terms, conditions, and financial projections set forth herein. This signature does not obligate either party to execute a binding contract until a separate service agreement is formally drafted and executed.</w:t>
      </w:r>
    </w:p>
    <w:p>
      <w:pPr>
        <w:pStyle w:val="BodyText"/>
      </w:pPr>
      <w:r>
        <w:rPr>
          <w:bCs/>
          <w:b/>
        </w:rPr>
        <w:t xml:space="preserve">For Brasília Financial Advisory Group Ltda.</w:t>
      </w:r>
    </w:p>
    <w:p>
      <w:pPr>
        <w:pStyle w:val="BodyText"/>
      </w:pPr>
      <w:r>
        <w:t xml:space="preserve">Name: ______________________________</w:t>
      </w:r>
      <w:r>
        <w:br/>
      </w:r>
      <w:r>
        <w:t xml:space="preserve">Title: Chief Banker / Director</w:t>
      </w:r>
      <w:r>
        <w:br/>
      </w:r>
      <w:r>
        <w:t xml:space="preserve">CNPJ: 00.000.000/0001-00</w:t>
      </w:r>
      <w:r>
        <w:br/>
      </w:r>
      <w:r>
        <w:t xml:space="preserve">Date: ______________________________</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CPF/CNPJ: ______________________________</w:t>
      </w:r>
      <w:r>
        <w:br/>
      </w:r>
      <w:r>
        <w:t xml:space="preserve">Date: ______________________________</w:t>
      </w:r>
    </w:p>
    <w:p>
      <w:pPr>
        <w:pStyle w:val="BodyText"/>
      </w:pPr>
      <w:r>
        <w:t xml:space="preserve">Quotation Estimate No. QTE-BRK-2025-04782 — Brasília Financial Advisory Group Ltda.</w:t>
      </w:r>
      <w:r>
        <w:br/>
      </w:r>
      <w:r>
        <w:t xml:space="preserve">Setor Bancário Sul (SBS), Quadra 1, Bloco A, Sala 1204 — Brasília, DF — CEP 70070-120 — Brazil</w:t>
      </w:r>
      <w:r>
        <w:br/>
      </w:r>
      <w:r>
        <w:t xml:space="preserve">This document is a Quotation Estimate for Banker services in Brazil Brasília and is valid for 30 days from the date of issue.</w:t>
      </w:r>
      <w:r>
        <w:br/>
      </w:r>
      <w:r>
        <w:t xml:space="preserve">© 2025 Brasília Financial Advisory Group Ltda.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Brazil Brasília</dc:title>
  <dc:creator/>
  <dc:language>en</dc:language>
  <cp:keywords/>
  <dcterms:created xsi:type="dcterms:W3CDTF">2026-10-10T07:36:02Z</dcterms:created>
  <dcterms:modified xsi:type="dcterms:W3CDTF">2026-10-10T07:36:02Z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