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Banker</w:t>
      </w:r>
      <w:r>
        <w:t xml:space="preserve"> </w:t>
      </w:r>
      <w:r>
        <w:t xml:space="preserve">Services</w:t>
      </w:r>
      <w:r>
        <w:t xml:space="preserve"> </w:t>
      </w:r>
      <w:r>
        <w:t xml:space="preserve">-</w:t>
      </w:r>
      <w:r>
        <w:t xml:space="preserve"> </w:t>
      </w:r>
      <w:r>
        <w:t xml:space="preserve">Rio</w:t>
      </w:r>
      <w:r>
        <w:t xml:space="preserve"> </w:t>
      </w:r>
      <w:r>
        <w:t xml:space="preserve">de</w:t>
      </w:r>
      <w:r>
        <w:t xml:space="preserve"> </w:t>
      </w:r>
      <w:r>
        <w:t xml:space="preserve">Janeiro,</w:t>
      </w:r>
      <w:r>
        <w:t xml:space="preserve"> </w:t>
      </w:r>
      <w:r>
        <w:t xml:space="preserve">Brazil</w:t>
      </w:r>
    </w:p>
    <w:bookmarkStart w:id="20" w:name="quotation-estimate"/>
    <w:p>
      <w:pPr>
        <w:pStyle w:val="Heading1"/>
      </w:pPr>
      <w:r>
        <w:t xml:space="preserve">QUOTATION ESTIMATE</w:t>
      </w:r>
    </w:p>
    <w:p>
      <w:pPr>
        <w:pStyle w:val="FirstParagraph"/>
      </w:pPr>
      <w:r>
        <w:t xml:space="preserve">Professional Banker Services — Rio de Janeiro, Brazil</w:t>
      </w:r>
    </w:p>
    <w:p>
      <w:pPr>
        <w:pStyle w:val="BodyText"/>
      </w:pPr>
      <w:r>
        <w:t xml:space="preserve">Document Reference: QE-BRK-RJ-2025-0472</w:t>
      </w:r>
    </w:p>
    <w:bookmarkEnd w:id="20"/>
    <w:p>
      <w:pPr>
        <w:pStyle w:val="BodyText"/>
      </w:pPr>
      <w:r>
        <w:rPr>
          <w:bCs/>
          <w:b/>
        </w:rPr>
        <w:t xml:space="preserve">Date of Issue:</w:t>
      </w:r>
      <w:r>
        <w:t xml:space="preserve"> </w:t>
      </w:r>
      <w:r>
        <w:t xml:space="preserve">14 June 2025</w:t>
      </w:r>
      <w:r>
        <w:br/>
      </w:r>
      <w:r>
        <w:rPr>
          <w:bCs/>
          <w:b/>
        </w:rPr>
        <w:t xml:space="preserve">Valid Until:</w:t>
      </w:r>
      <w:r>
        <w:t xml:space="preserve"> </w:t>
      </w:r>
      <w:r>
        <w:t xml:space="preserve">14 July 2025</w:t>
      </w:r>
      <w:r>
        <w:br/>
      </w:r>
      <w:r>
        <w:rPr>
          <w:bCs/>
          <w:b/>
        </w:rPr>
        <w:t xml:space="preserve">Currency:</w:t>
      </w:r>
      <w:r>
        <w:t xml:space="preserve"> </w:t>
      </w:r>
      <w:r>
        <w:t xml:space="preserve">Brazilian Real (BRL / R$)</w:t>
      </w:r>
    </w:p>
    <w:p>
      <w:pPr>
        <w:pStyle w:val="BodyText"/>
      </w:pPr>
      <w:r>
        <w:rPr>
          <w:bCs/>
          <w:b/>
        </w:rPr>
        <w:t xml:space="preserve">Prepared By:</w:t>
      </w:r>
      <w:r>
        <w:t xml:space="preserve"> </w:t>
      </w:r>
      <w:r>
        <w:t xml:space="preserve">Atlantic Financial Advisory Group</w:t>
      </w:r>
      <w:r>
        <w:br/>
      </w:r>
      <w:r>
        <w:rPr>
          <w:bCs/>
          <w:b/>
        </w:rPr>
        <w:t xml:space="preserve">Address:</w:t>
      </w:r>
      <w:r>
        <w:t xml:space="preserve"> </w:t>
      </w:r>
      <w:r>
        <w:t xml:space="preserve">Av. Rio Branco, 1200, 14th Floor</w:t>
      </w:r>
      <w:r>
        <w:br/>
      </w:r>
      <w:r>
        <w:t xml:space="preserve">Centro, Rio de Janeiro, RJ — CEP 20090-000</w:t>
      </w:r>
      <w:r>
        <w:br/>
      </w:r>
      <w:r>
        <w:rPr>
          <w:bCs/>
          <w:b/>
        </w:rPr>
        <w:t xml:space="preserve">Contact:</w:t>
      </w:r>
      <w:r>
        <w:t xml:space="preserve"> </w:t>
      </w:r>
      <w:r>
        <w:t xml:space="preserve">+55 (21) 3555-8842</w:t>
      </w:r>
    </w:p>
    <w:bookmarkStart w:id="21" w:name="client-information"/>
    <w:p>
      <w:pPr>
        <w:pStyle w:val="Heading2"/>
      </w:pPr>
      <w:r>
        <w:t xml:space="preserve">1. Client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Client Name</w:t>
            </w:r>
          </w:p>
        </w:tc>
        <w:tc>
          <w:tcPr/>
          <w:p>
            <w:pPr>
              <w:pStyle w:val="Compact"/>
              <w:jc w:val="left"/>
            </w:pPr>
            <w:r>
              <w:t xml:space="preserve">Meridian Industrial Holdings Ltda.</w:t>
            </w:r>
          </w:p>
        </w:tc>
      </w:tr>
      <w:tr>
        <w:tc>
          <w:tcPr/>
          <w:p>
            <w:pPr>
              <w:pStyle w:val="Compact"/>
              <w:jc w:val="left"/>
            </w:pPr>
            <w:r>
              <w:t xml:space="preserve">CNPJ</w:t>
            </w:r>
          </w:p>
        </w:tc>
        <w:tc>
          <w:tcPr/>
          <w:p>
            <w:pPr>
              <w:pStyle w:val="Compact"/>
              <w:jc w:val="left"/>
            </w:pPr>
            <w:r>
              <w:t xml:space="preserve">12.345.678/0001-90</w:t>
            </w:r>
          </w:p>
        </w:tc>
      </w:tr>
      <w:tr>
        <w:tc>
          <w:tcPr/>
          <w:p>
            <w:pPr>
              <w:pStyle w:val="Compact"/>
              <w:jc w:val="left"/>
            </w:pPr>
            <w:r>
              <w:t xml:space="preserve">Registered Address</w:t>
            </w:r>
          </w:p>
        </w:tc>
        <w:tc>
          <w:tcPr/>
          <w:p>
            <w:pPr>
              <w:pStyle w:val="Compact"/>
              <w:jc w:val="left"/>
            </w:pPr>
            <w:r>
              <w:t xml:space="preserve">Rua da Assembleia, 450, Sala 812 — Botafogo, Rio de Janeiro, RJ</w:t>
            </w:r>
          </w:p>
        </w:tc>
      </w:tr>
      <w:tr>
        <w:tc>
          <w:tcPr/>
          <w:p>
            <w:pPr>
              <w:pStyle w:val="Compact"/>
              <w:jc w:val="left"/>
            </w:pPr>
            <w:r>
              <w:t xml:space="preserve">Primary Contact</w:t>
            </w:r>
          </w:p>
        </w:tc>
        <w:tc>
          <w:tcPr/>
          <w:p>
            <w:pPr>
              <w:pStyle w:val="Compact"/>
              <w:jc w:val="left"/>
            </w:pPr>
            <w:r>
              <w:t xml:space="preserve">Eng. Ricardo Vasconcelos — CFO</w:t>
            </w:r>
          </w:p>
        </w:tc>
      </w:tr>
      <w:tr>
        <w:tc>
          <w:tcPr/>
          <w:p>
            <w:pPr>
              <w:pStyle w:val="Compact"/>
              <w:jc w:val="left"/>
            </w:pPr>
            <w:r>
              <w:t xml:space="preserve">Service Location</w:t>
            </w:r>
          </w:p>
        </w:tc>
        <w:tc>
          <w:tcPr/>
          <w:p>
            <w:pPr>
              <w:pStyle w:val="Compact"/>
              <w:jc w:val="left"/>
            </w:pPr>
            <w:r>
              <w:t xml:space="preserve">Rio de Janeiro, State of Rio de Janeiro, Brazil</w:t>
            </w:r>
          </w:p>
        </w:tc>
      </w:tr>
    </w:tbl>
    <w:bookmarkEnd w:id="21"/>
    <w:bookmarkStart w:id="22" w:name="scope-of-banker-services"/>
    <w:p>
      <w:pPr>
        <w:pStyle w:val="Heading2"/>
      </w:pPr>
      <w:r>
        <w:t xml:space="preserve">2. Scope of Banker Services</w:t>
      </w:r>
    </w:p>
    <w:p>
      <w:pPr>
        <w:pStyle w:val="FirstParagraph"/>
      </w:pPr>
      <w:r>
        <w:t xml:space="preserve">This Quotation Estimate is issued by Atlantic Financial Advisory Group to provide a comprehensive, itemised cost breakdown for the engagement of a senior</w:t>
      </w:r>
      <w:r>
        <w:t xml:space="preserve"> </w:t>
      </w:r>
      <w:r>
        <w:rPr>
          <w:bCs/>
          <w:b/>
        </w:rPr>
        <w:t xml:space="preserve">Banker</w:t>
      </w:r>
      <w:r>
        <w:t xml:space="preserve"> </w:t>
      </w:r>
      <w:r>
        <w:t xml:space="preserve">to deliver corporate treasury, credit structuring, and financial advisory services on behalf of Meridian Industrial Holdings Ltda. All services shall be rendered in</w:t>
      </w:r>
      <w:r>
        <w:t xml:space="preserve"> </w:t>
      </w:r>
      <w:r>
        <w:rPr>
          <w:bCs/>
          <w:b/>
        </w:rPr>
        <w:t xml:space="preserve">Rio de Janeiro, Brazil</w:t>
      </w:r>
      <w:r>
        <w:t xml:space="preserve">, in full compliance with the regulations of the Central Bank of Brazil (Banco Central do Brasil — BCB) and the applicable provisions of the Brazilian Civil Code and the Securities and Exchange Commission (CVM) where relevant.</w:t>
      </w:r>
    </w:p>
    <w:p>
      <w:pPr>
        <w:pStyle w:val="BodyText"/>
      </w:pPr>
      <w:r>
        <w:t xml:space="preserve">The Banker engagement encompasses the following core deliverables:</w:t>
      </w:r>
    </w:p>
    <w:p>
      <w:pPr>
        <w:numPr>
          <w:ilvl w:val="0"/>
          <w:numId w:val="1001"/>
        </w:numPr>
        <w:pStyle w:val="Compact"/>
      </w:pPr>
      <w:r>
        <w:t xml:space="preserve">Corporate treasury management and cash-flow optimisation for operations based in Rio de Janeiro and the broader State of Rio de Janeiro region.</w:t>
      </w:r>
    </w:p>
    <w:p>
      <w:pPr>
        <w:numPr>
          <w:ilvl w:val="0"/>
          <w:numId w:val="1001"/>
        </w:numPr>
        <w:pStyle w:val="Compact"/>
      </w:pPr>
      <w:r>
        <w:t xml:space="preserve">Structuring and negotiation of credit facilities, including working-capital lines, term loans, and trade finance instruments with Brazilian and international banking institutions.</w:t>
      </w:r>
    </w:p>
    <w:p>
      <w:pPr>
        <w:numPr>
          <w:ilvl w:val="0"/>
          <w:numId w:val="1001"/>
        </w:numPr>
        <w:pStyle w:val="Compact"/>
      </w:pPr>
      <w:r>
        <w:t xml:space="preserve">Foreign-exchange risk management and hedging strategies to protect the client’s exposure to the Brazilian Real (BRL) against USD and EUR fluctuations.</w:t>
      </w:r>
    </w:p>
    <w:p>
      <w:pPr>
        <w:numPr>
          <w:ilvl w:val="0"/>
          <w:numId w:val="1001"/>
        </w:numPr>
        <w:pStyle w:val="Compact"/>
      </w:pPr>
      <w:r>
        <w:t xml:space="preserve">Advisory on capital-market access, including potential equity or debt issuance under CVM regulations.</w:t>
      </w:r>
    </w:p>
    <w:p>
      <w:pPr>
        <w:numPr>
          <w:ilvl w:val="0"/>
          <w:numId w:val="1001"/>
        </w:numPr>
        <w:pStyle w:val="Compact"/>
      </w:pPr>
      <w:r>
        <w:t xml:space="preserve">Monthly financial reporting and quarterly strategic reviews conducted at the client’s offices in Botafogo, Rio de Janeiro.</w:t>
      </w:r>
    </w:p>
    <w:p>
      <w:pPr>
        <w:numPr>
          <w:ilvl w:val="0"/>
          <w:numId w:val="1001"/>
        </w:numPr>
        <w:pStyle w:val="Compact"/>
      </w:pPr>
      <w:r>
        <w:t xml:space="preserve">Compliance monitoring in accordance with BCB resolutions, COAF (Financial Activities Control Council) anti-money-laundering directives, and local tax obligations administered by the Secretaria de Fazenda do Estado do Rio de Janeiro.</w:t>
      </w:r>
    </w:p>
    <w:bookmarkEnd w:id="22"/>
    <w:bookmarkStart w:id="23" w:name="itemised-cost-breakdown"/>
    <w:p>
      <w:pPr>
        <w:pStyle w:val="Heading2"/>
      </w:pPr>
      <w:r>
        <w:t xml:space="preserve">3. Itemised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Banker Service</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(BRL)</w:t>
            </w:r>
          </w:p>
        </w:tc>
        <w:tc>
          <w:tcPr/>
          <w:p>
            <w:pPr>
              <w:pStyle w:val="Compact"/>
              <w:jc w:val="left"/>
            </w:pPr>
            <w:r>
              <w:t xml:space="preserve">Subtotal (BRL)</w:t>
            </w:r>
          </w:p>
        </w:tc>
      </w:tr>
      <w:tr>
        <w:tc>
          <w:tcPr/>
          <w:p>
            <w:pPr>
              <w:pStyle w:val="Compact"/>
              <w:jc w:val="left"/>
            </w:pPr>
            <w:r>
              <w:t xml:space="preserve">01</w:t>
            </w:r>
          </w:p>
        </w:tc>
        <w:tc>
          <w:tcPr/>
          <w:p>
            <w:pPr>
              <w:pStyle w:val="Compact"/>
              <w:jc w:val="left"/>
            </w:pPr>
            <w:r>
              <w:t xml:space="preserve">Senior Banker — monthly retainer for treasury management and credit advisory (Rio de Janeiro office-based)</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R$ 38,500.00</w:t>
            </w:r>
          </w:p>
        </w:tc>
        <w:tc>
          <w:tcPr/>
          <w:p>
            <w:pPr>
              <w:pStyle w:val="Compact"/>
              <w:jc w:val="left"/>
            </w:pPr>
            <w:r>
              <w:t xml:space="preserve">R$ 462,000.00</w:t>
            </w:r>
          </w:p>
        </w:tc>
      </w:tr>
      <w:tr>
        <w:tc>
          <w:tcPr/>
          <w:p>
            <w:pPr>
              <w:pStyle w:val="Compact"/>
              <w:jc w:val="left"/>
            </w:pPr>
            <w:r>
              <w:t xml:space="preserve">02</w:t>
            </w:r>
          </w:p>
        </w:tc>
        <w:tc>
          <w:tcPr/>
          <w:p>
            <w:pPr>
              <w:pStyle w:val="Compact"/>
              <w:jc w:val="left"/>
            </w:pPr>
            <w:r>
              <w:t xml:space="preserve">Credit facility structuring — one-time engagement for negotiation with up to three Brazilian banks</w:t>
            </w:r>
          </w:p>
        </w:tc>
        <w:tc>
          <w:tcPr/>
          <w:p>
            <w:pPr>
              <w:pStyle w:val="Compact"/>
              <w:jc w:val="left"/>
            </w:pPr>
            <w:r>
              <w:t xml:space="preserve">Project</w:t>
            </w:r>
          </w:p>
        </w:tc>
        <w:tc>
          <w:tcPr/>
          <w:p>
            <w:pPr>
              <w:pStyle w:val="Compact"/>
              <w:jc w:val="left"/>
            </w:pPr>
            <w:r>
              <w:t xml:space="preserve">1</w:t>
            </w:r>
          </w:p>
        </w:tc>
        <w:tc>
          <w:tcPr/>
          <w:p>
            <w:pPr>
              <w:pStyle w:val="Compact"/>
              <w:jc w:val="left"/>
            </w:pPr>
            <w:r>
              <w:t xml:space="preserve">R$ 95,000.00</w:t>
            </w:r>
          </w:p>
        </w:tc>
        <w:tc>
          <w:tcPr/>
          <w:p>
            <w:pPr>
              <w:pStyle w:val="Compact"/>
              <w:jc w:val="left"/>
            </w:pPr>
            <w:r>
              <w:t xml:space="preserve">R$ 95,000.00</w:t>
            </w:r>
          </w:p>
        </w:tc>
      </w:tr>
      <w:tr>
        <w:tc>
          <w:tcPr/>
          <w:p>
            <w:pPr>
              <w:pStyle w:val="Compact"/>
              <w:jc w:val="left"/>
            </w:pPr>
            <w:r>
              <w:t xml:space="preserve">03</w:t>
            </w:r>
          </w:p>
        </w:tc>
        <w:tc>
          <w:tcPr/>
          <w:p>
            <w:pPr>
              <w:pStyle w:val="Compact"/>
              <w:jc w:val="left"/>
            </w:pPr>
            <w:r>
              <w:t xml:space="preserve">Foreign-exchange hedging programme design and implementation (BRL/USD, BRL/EUR)</w:t>
            </w:r>
          </w:p>
        </w:tc>
        <w:tc>
          <w:tcPr/>
          <w:p>
            <w:pPr>
              <w:pStyle w:val="Compact"/>
              <w:jc w:val="left"/>
            </w:pPr>
            <w:r>
              <w:t xml:space="preserve">Project</w:t>
            </w:r>
          </w:p>
        </w:tc>
        <w:tc>
          <w:tcPr/>
          <w:p>
            <w:pPr>
              <w:pStyle w:val="Compact"/>
              <w:jc w:val="left"/>
            </w:pPr>
            <w:r>
              <w:t xml:space="preserve">1</w:t>
            </w:r>
          </w:p>
        </w:tc>
        <w:tc>
          <w:tcPr/>
          <w:p>
            <w:pPr>
              <w:pStyle w:val="Compact"/>
              <w:jc w:val="left"/>
            </w:pPr>
            <w:r>
              <w:t xml:space="preserve">R$ 62,000.00</w:t>
            </w:r>
          </w:p>
        </w:tc>
        <w:tc>
          <w:tcPr/>
          <w:p>
            <w:pPr>
              <w:pStyle w:val="Compact"/>
              <w:jc w:val="left"/>
            </w:pPr>
            <w:r>
              <w:t xml:space="preserve">R$ 62,000.00</w:t>
            </w:r>
          </w:p>
        </w:tc>
      </w:tr>
      <w:tr>
        <w:tc>
          <w:tcPr/>
          <w:p>
            <w:pPr>
              <w:pStyle w:val="Compact"/>
              <w:jc w:val="left"/>
            </w:pPr>
            <w:r>
              <w:t xml:space="preserve">04</w:t>
            </w:r>
          </w:p>
        </w:tc>
        <w:tc>
          <w:tcPr/>
          <w:p>
            <w:pPr>
              <w:pStyle w:val="Compact"/>
              <w:jc w:val="left"/>
            </w:pPr>
            <w:r>
              <w:t xml:space="preserve">Quarterly strategic financial review — on-site in Rio de Janeiro (4 sessions per year)</w:t>
            </w:r>
          </w:p>
        </w:tc>
        <w:tc>
          <w:tcPr/>
          <w:p>
            <w:pPr>
              <w:pStyle w:val="Compact"/>
              <w:jc w:val="left"/>
            </w:pPr>
            <w:r>
              <w:t xml:space="preserve">Session</w:t>
            </w:r>
          </w:p>
        </w:tc>
        <w:tc>
          <w:tcPr/>
          <w:p>
            <w:pPr>
              <w:pStyle w:val="Compact"/>
              <w:jc w:val="left"/>
            </w:pPr>
            <w:r>
              <w:t xml:space="preserve">4</w:t>
            </w:r>
          </w:p>
        </w:tc>
        <w:tc>
          <w:tcPr/>
          <w:p>
            <w:pPr>
              <w:pStyle w:val="Compact"/>
              <w:jc w:val="left"/>
            </w:pPr>
            <w:r>
              <w:t xml:space="preserve">R$ 12,800.00</w:t>
            </w:r>
          </w:p>
        </w:tc>
        <w:tc>
          <w:tcPr/>
          <w:p>
            <w:pPr>
              <w:pStyle w:val="Compact"/>
              <w:jc w:val="left"/>
            </w:pPr>
            <w:r>
              <w:t xml:space="preserve">R$ 51,200.00</w:t>
            </w:r>
          </w:p>
        </w:tc>
      </w:tr>
      <w:tr>
        <w:tc>
          <w:tcPr/>
          <w:p>
            <w:pPr>
              <w:pStyle w:val="Compact"/>
              <w:jc w:val="left"/>
            </w:pPr>
            <w:r>
              <w:t xml:space="preserve">05</w:t>
            </w:r>
          </w:p>
        </w:tc>
        <w:tc>
          <w:tcPr/>
          <w:p>
            <w:pPr>
              <w:pStyle w:val="Compact"/>
              <w:jc w:val="left"/>
            </w:pPr>
            <w:r>
              <w:t xml:space="preserve">Regulatory compliance monitoring — BCB, COAF, and RJ state tax authority liaison</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R$ 8,200.00</w:t>
            </w:r>
          </w:p>
        </w:tc>
        <w:tc>
          <w:tcPr/>
          <w:p>
            <w:pPr>
              <w:pStyle w:val="Compact"/>
              <w:jc w:val="left"/>
            </w:pPr>
            <w:r>
              <w:t xml:space="preserve">R$ 98,400.00</w:t>
            </w:r>
          </w:p>
        </w:tc>
      </w:tr>
      <w:tr>
        <w:tc>
          <w:tcPr/>
          <w:p>
            <w:pPr>
              <w:pStyle w:val="Compact"/>
              <w:jc w:val="left"/>
            </w:pPr>
            <w:r>
              <w:t xml:space="preserve">06</w:t>
            </w:r>
          </w:p>
        </w:tc>
        <w:tc>
          <w:tcPr/>
          <w:p>
            <w:pPr>
              <w:pStyle w:val="Compact"/>
              <w:jc w:val="left"/>
            </w:pPr>
            <w:r>
              <w:t xml:space="preserve">Capital-market advisory — feasibility study for potential CVM-regulated issuance</w:t>
            </w:r>
          </w:p>
        </w:tc>
        <w:tc>
          <w:tcPr/>
          <w:p>
            <w:pPr>
              <w:pStyle w:val="Compact"/>
              <w:jc w:val="left"/>
            </w:pPr>
            <w:r>
              <w:t xml:space="preserve">Project</w:t>
            </w:r>
          </w:p>
        </w:tc>
        <w:tc>
          <w:tcPr/>
          <w:p>
            <w:pPr>
              <w:pStyle w:val="Compact"/>
              <w:jc w:val="left"/>
            </w:pPr>
            <w:r>
              <w:t xml:space="preserve">1</w:t>
            </w:r>
          </w:p>
        </w:tc>
        <w:tc>
          <w:tcPr/>
          <w:p>
            <w:pPr>
              <w:pStyle w:val="Compact"/>
              <w:jc w:val="left"/>
            </w:pPr>
            <w:r>
              <w:t xml:space="preserve">R$ 47,500.00</w:t>
            </w:r>
          </w:p>
        </w:tc>
        <w:tc>
          <w:tcPr/>
          <w:p>
            <w:pPr>
              <w:pStyle w:val="Compact"/>
              <w:jc w:val="left"/>
            </w:pPr>
            <w:r>
              <w:t xml:space="preserve">R$ 47,500.00</w:t>
            </w:r>
          </w:p>
        </w:tc>
      </w:tr>
      <w:tr>
        <w:tc>
          <w:tcPr/>
          <w:p>
            <w:pPr>
              <w:pStyle w:val="Compact"/>
              <w:jc w:val="left"/>
            </w:pPr>
            <w:r>
              <w:t xml:space="preserve">07</w:t>
            </w:r>
          </w:p>
        </w:tc>
        <w:tc>
          <w:tcPr/>
          <w:p>
            <w:pPr>
              <w:pStyle w:val="Compact"/>
              <w:jc w:val="left"/>
            </w:pPr>
            <w:r>
              <w:t xml:space="preserve">Travel and local transportation within Rio de Janeiro metropolitan area (estimated)</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R$ 3,400.00</w:t>
            </w:r>
          </w:p>
        </w:tc>
        <w:tc>
          <w:tcPr/>
          <w:p>
            <w:pPr>
              <w:pStyle w:val="Compact"/>
              <w:jc w:val="left"/>
            </w:pPr>
            <w:r>
              <w:t xml:space="preserve">R$ 40,800.00</w:t>
            </w:r>
          </w:p>
        </w:tc>
      </w:tr>
      <w:tr>
        <w:tc>
          <w:tcPr>
            <w:gridSpan w:val="5"/>
          </w:tcPr>
          <w:p>
            <w:pPr>
              <w:pStyle w:val="Compact"/>
              <w:jc w:val="right"/>
            </w:pPr>
            <w:r>
              <w:t xml:space="preserve">Subtotal (before taxes)</w:t>
            </w:r>
          </w:p>
        </w:tc>
        <w:tc>
          <w:tcPr/>
          <w:p>
            <w:pPr>
              <w:pStyle w:val="Compact"/>
              <w:jc w:val="left"/>
            </w:pPr>
            <w:r>
              <w:t xml:space="preserve">R$ 856,900.00</w:t>
            </w:r>
          </w:p>
        </w:tc>
      </w:tr>
      <w:tr>
        <w:tc>
          <w:tcPr>
            <w:gridSpan w:val="5"/>
          </w:tcPr>
          <w:p>
            <w:pPr>
              <w:pStyle w:val="Compact"/>
              <w:jc w:val="left"/>
            </w:pPr>
            <w:r>
              <w:t xml:space="preserve">ICMS / ISS — Service tax applicable in Rio de Janeiro (5.29%)</w:t>
            </w:r>
          </w:p>
        </w:tc>
        <w:tc>
          <w:tcPr/>
          <w:p>
            <w:pPr>
              <w:pStyle w:val="Compact"/>
              <w:jc w:val="left"/>
            </w:pPr>
            <w:r>
              <w:t xml:space="preserve">R$ 45,330.01</w:t>
            </w:r>
          </w:p>
        </w:tc>
      </w:tr>
      <w:tr>
        <w:tc>
          <w:tcPr>
            <w:gridSpan w:val="5"/>
          </w:tcPr>
          <w:p>
            <w:pPr>
              <w:pStyle w:val="Compact"/>
              <w:jc w:val="left"/>
            </w:pPr>
            <w:r>
              <w:t xml:space="preserve">IRRF — Withholding income tax on services (1.5%)</w:t>
            </w:r>
          </w:p>
        </w:tc>
        <w:tc>
          <w:tcPr/>
          <w:p>
            <w:pPr>
              <w:pStyle w:val="Compact"/>
              <w:jc w:val="left"/>
            </w:pPr>
            <w:r>
              <w:t xml:space="preserve">R$ 12,853.50</w:t>
            </w:r>
          </w:p>
        </w:tc>
      </w:tr>
      <w:tr>
        <w:tc>
          <w:tcPr>
            <w:gridSpan w:val="5"/>
          </w:tcPr>
          <w:p>
            <w:pPr>
              <w:pStyle w:val="Compact"/>
              <w:jc w:val="right"/>
            </w:pPr>
            <w:r>
              <w:t xml:space="preserve">TOTAL ESTIMATED COST (BRL)</w:t>
            </w:r>
          </w:p>
        </w:tc>
        <w:tc>
          <w:tcPr/>
          <w:p>
            <w:pPr>
              <w:pStyle w:val="Compact"/>
              <w:jc w:val="left"/>
            </w:pPr>
            <w:r>
              <w:t xml:space="preserve">R$ 915,083.51</w:t>
            </w:r>
          </w:p>
        </w:tc>
      </w:tr>
    </w:tbl>
    <w:bookmarkEnd w:id="23"/>
    <w:bookmarkStart w:id="24" w:name="payment-terms"/>
    <w:p>
      <w:pPr>
        <w:pStyle w:val="Heading2"/>
      </w:pPr>
      <w:r>
        <w:t xml:space="preserve">4. Payment Terms</w:t>
      </w:r>
    </w:p>
    <w:p>
      <w:pPr>
        <w:pStyle w:val="FirstParagraph"/>
      </w:pPr>
      <w:r>
        <w:t xml:space="preserve">Payment for the monthly retainer (Item 01) and compliance monitoring (Item 05) shall be due on the 5th business day of each month via TED transfer to the account designated by Atlantic Financial Advisory Group, held at Banco do Brasil S.A., Agência 1420, Rio de Janeiro. Project-based fees (Items 02, 03, 06) shall be invoiced upon completion of the respective deliverable, with payment due within 30 calendar days of invoice date. All amounts are quoted in Brazilian Reais (BRL) and are subject to the tax obligations prevailing in the State of Rio de Janeiro at the time of invoicing.</w:t>
      </w:r>
    </w:p>
    <w:bookmarkEnd w:id="24"/>
    <w:bookmarkStart w:id="25" w:name="terms-and-conditions"/>
    <w:p>
      <w:pPr>
        <w:pStyle w:val="Heading2"/>
      </w:pPr>
      <w:r>
        <w:t xml:space="preserve">5. Terms and Conditions</w:t>
      </w:r>
    </w:p>
    <w:p>
      <w:pPr>
        <w:numPr>
          <w:ilvl w:val="0"/>
          <w:numId w:val="1002"/>
        </w:numPr>
        <w:pStyle w:val="Compact"/>
      </w:pPr>
      <w:r>
        <w:t xml:space="preserve">This Quotation Estimate is valid for thirty (30) calendar days from the date of issue. After this period, pricing may be revised to reflect changes in the BRL exchange rate, prevailing interest rates in Brazil, or regulatory adjustments by the Banco Central do Brasil.</w:t>
      </w:r>
    </w:p>
    <w:p>
      <w:pPr>
        <w:numPr>
          <w:ilvl w:val="0"/>
          <w:numId w:val="1002"/>
        </w:numPr>
        <w:pStyle w:val="Compact"/>
      </w:pPr>
      <w:r>
        <w:t xml:space="preserve">The Banker shall devote a minimum of 60 hours per month to the client’s matters, with all on-site work performed in Rio de Janeiro, Brazil, unless otherwise agreed in writing.</w:t>
      </w:r>
    </w:p>
    <w:p>
      <w:pPr>
        <w:numPr>
          <w:ilvl w:val="0"/>
          <w:numId w:val="1002"/>
        </w:numPr>
        <w:pStyle w:val="Compact"/>
      </w:pPr>
      <w:r>
        <w:t xml:space="preserve">Confidentiality obligations shall be governed by a separate Non-Disclosure Agreement (NDA) executed prior to the commencement of services, in accordance with Brazil’s General Data Protection Law (LGPD — Lei nº 13.709/2018).</w:t>
      </w:r>
    </w:p>
    <w:p>
      <w:pPr>
        <w:numPr>
          <w:ilvl w:val="0"/>
          <w:numId w:val="1002"/>
        </w:numPr>
        <w:pStyle w:val="Compact"/>
      </w:pPr>
      <w:r>
        <w:t xml:space="preserve">Any scope change exceeding 15% of the total estimated cost shall require a formal amendment to this Quotation Estimate, signed by both parties.</w:t>
      </w:r>
    </w:p>
    <w:p>
      <w:pPr>
        <w:numPr>
          <w:ilvl w:val="0"/>
          <w:numId w:val="1002"/>
        </w:numPr>
        <w:pStyle w:val="Compact"/>
      </w:pPr>
      <w:r>
        <w:t xml:space="preserve">This Quotation Estimate does not constitute a binding contract. A definitive Service Agreement shall be executed upon the client’s written acceptance of these terms.</w:t>
      </w:r>
    </w:p>
    <w:p>
      <w:pPr>
        <w:numPr>
          <w:ilvl w:val="0"/>
          <w:numId w:val="1002"/>
        </w:numPr>
        <w:pStyle w:val="Compact"/>
      </w:pPr>
      <w:r>
        <w:t xml:space="preserve">Governing law: The laws of the Federative Republic of Brazil. Jurisdiction: Courts of the City of Rio de Janeiro, State of Rio de Janeiro.</w:t>
      </w:r>
    </w:p>
    <w:bookmarkEnd w:id="25"/>
    <w:p>
      <w:pPr>
        <w:pStyle w:val="FirstParagraph"/>
      </w:pPr>
      <w:r>
        <w:rPr>
          <w:bCs/>
          <w:b/>
        </w:rPr>
        <w:t xml:space="preserve">Note:</w:t>
      </w:r>
      <w:r>
        <w:t xml:space="preserve"> </w:t>
      </w:r>
      <w:r>
        <w:t xml:space="preserve">This Quotation Estimate has been prepared specifically for services to be delivered in</w:t>
      </w:r>
      <w:r>
        <w:t xml:space="preserve"> </w:t>
      </w:r>
      <w:r>
        <w:rPr>
          <w:bCs/>
          <w:b/>
        </w:rPr>
        <w:t xml:space="preserve">Rio de Janeiro, Brazil</w:t>
      </w:r>
      <w:r>
        <w:t xml:space="preserve">. All tax calculations reflect the current fiscal regime of the State of Rio de Janeiro as of June 2025. The Banker services described herein are subject to the professional standards of the Brazilian financial sector and the regulatory oversight of the Banco Central do Brasil.</w:t>
      </w:r>
    </w:p>
    <w:p>
      <w:pPr>
        <w:pStyle w:val="BodyText"/>
      </w:pPr>
      <w:r>
        <w:rPr>
          <w:bCs/>
          <w:b/>
        </w:rPr>
        <w:t xml:space="preserve">For Atlantic Financial Advisory Group</w:t>
      </w:r>
      <w:r>
        <w:br/>
      </w:r>
      <w:r>
        <w:t xml:space="preserve">Name: Dra. Helena M. Sampaio</w:t>
      </w:r>
      <w:r>
        <w:br/>
      </w:r>
      <w:r>
        <w:t xml:space="preserve">Title: Managing Director — Corporate Banking Division</w:t>
      </w:r>
      <w:r>
        <w:br/>
      </w:r>
      <w:r>
        <w:t xml:space="preserve">CNPJ: 98.765.432/0001-10</w:t>
      </w:r>
    </w:p>
    <w:p>
      <w:pPr>
        <w:pStyle w:val="BodyText"/>
      </w:pPr>
      <w:r>
        <w:rPr>
          <w:bCs/>
          <w:b/>
        </w:rPr>
        <w:t xml:space="preserve">Accepted by — Meridian Industrial Holdings Ltda.</w:t>
      </w:r>
      <w:r>
        <w:br/>
      </w:r>
      <w:r>
        <w:t xml:space="preserve">Name: ______________________________</w:t>
      </w:r>
      <w:r>
        <w:br/>
      </w:r>
      <w:r>
        <w:t xml:space="preserve">Title: Chief Financial Officer</w:t>
      </w:r>
      <w:r>
        <w:br/>
      </w:r>
      <w:r>
        <w:t xml:space="preserve">Date: ______________________________</w:t>
      </w:r>
    </w:p>
    <w:p>
      <w:pPr>
        <w:pStyle w:val="BodyText"/>
      </w:pPr>
      <w:r>
        <w:rPr>
          <w:bCs/>
          <w:b/>
        </w:rPr>
        <w:t xml:space="preserve">Atlantic Financial Advisory Group</w:t>
      </w:r>
      <w:r>
        <w:t xml:space="preserve"> </w:t>
      </w:r>
      <w:r>
        <w:t xml:space="preserve">— Av. Rio Branco, 1200, 14th Floor, Centro, Rio de Janeiro, RJ — CEP 20090-000, Brazil</w:t>
      </w:r>
      <w:r>
        <w:br/>
      </w:r>
      <w:r>
        <w:t xml:space="preserve">CNPJ: 98.765.432/0001-10 | Tel: +55 (21) 3555-8842 | Email: quotations@atlanticfinancial.com.br</w:t>
      </w:r>
      <w:r>
        <w:br/>
      </w:r>
      <w:r>
        <w:t xml:space="preserve">Registered with the Banco Central do Brasil — License No. BCB-2019-4471-RJ</w:t>
      </w:r>
      <w:r>
        <w:br/>
      </w:r>
      <w:r>
        <w:br/>
      </w:r>
      <w:r>
        <w:rPr>
          <w:iCs/>
          <w:i/>
        </w:rPr>
        <w:t xml:space="preserve">This Quotation Estimate document was generated on 14 June 2025. For queries regarding this Banker services estimate in Rio de Janeiro, Brazil, please contact the undersigned within the validity period stated above.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Banker Services - Rio de Janeiro, Brazil</dc:title>
  <dc:creator/>
  <dc:language>en</dc:language>
  <cp:keywords/>
  <dcterms:created xsi:type="dcterms:W3CDTF">2026-10-10T07:35:48Z</dcterms:created>
  <dcterms:modified xsi:type="dcterms:W3CDTF">2026-10-10T07:35:48Z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