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1" w:name="quotation-estimate"/>
    <w:p>
      <w:pPr>
        <w:pStyle w:val="Heading1"/>
      </w:pPr>
      <w:r>
        <w:t xml:space="preserve">QUOTATION ESTIMATE</w:t>
      </w:r>
    </w:p>
    <w:bookmarkStart w:id="20" w:name="X4b671c3bfcab010af5da780cf2fd3194a0155fc"/>
    <w:p>
      <w:pPr>
        <w:pStyle w:val="Heading2"/>
      </w:pPr>
      <w:r>
        <w:t xml:space="preserve">Professional Banker Services — Brazil, São Paulo</w:t>
      </w:r>
    </w:p>
    <w:p>
      <w:pPr>
        <w:pStyle w:val="FirstParagraph"/>
      </w:pPr>
      <w:r>
        <w:t xml:space="preserve">Document Reference: QE-BRK-SP-2025-0472</w:t>
      </w:r>
    </w:p>
    <w:bookmarkEnd w:id="20"/>
    <w:bookmarkEnd w:id="21"/>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Brazilian Real (BRL / R$)</w:t>
      </w:r>
    </w:p>
    <w:p>
      <w:pPr>
        <w:pStyle w:val="BodyText"/>
      </w:pPr>
      <w:r>
        <w:rPr>
          <w:bCs/>
          <w:b/>
        </w:rPr>
        <w:t xml:space="preserve">Prepared By:</w:t>
      </w:r>
      <w:r>
        <w:t xml:space="preserve"> </w:t>
      </w:r>
      <w:r>
        <w:t xml:space="preserve">São Paulo Financial Advisory Group</w:t>
      </w:r>
      <w:r>
        <w:br/>
      </w:r>
      <w:r>
        <w:rPr>
          <w:bCs/>
          <w:b/>
        </w:rPr>
        <w:t xml:space="preserve">Address:</w:t>
      </w:r>
      <w:r>
        <w:t xml:space="preserve"> </w:t>
      </w:r>
      <w:r>
        <w:t xml:space="preserve">Av. Paulista, 1578, Bela Vista</w:t>
      </w:r>
      <w:r>
        <w:br/>
      </w:r>
      <w:r>
        <w:t xml:space="preserve">São Paulo, SP — CEP 01310-200, Brazil</w:t>
      </w:r>
      <w:r>
        <w:br/>
      </w:r>
      <w:r>
        <w:rPr>
          <w:bCs/>
          <w:b/>
        </w:rPr>
        <w:t xml:space="preserve">Contact:</w:t>
      </w:r>
      <w:r>
        <w:t xml:space="preserve"> </w:t>
      </w:r>
      <w:r>
        <w:t xml:space="preserve">+55 (11) 3284-7700</w:t>
      </w:r>
    </w:p>
    <w:bookmarkStart w:id="22" w:name="client-information"/>
    <w:p>
      <w:pPr>
        <w:pStyle w:val="Heading3"/>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Meridian Industrial Holdings Ltda.</w:t>
            </w:r>
          </w:p>
        </w:tc>
      </w:tr>
      <w:tr>
        <w:tc>
          <w:tcPr/>
          <w:p>
            <w:pPr>
              <w:pStyle w:val="Compact"/>
              <w:jc w:val="left"/>
            </w:pPr>
            <w:r>
              <w:t xml:space="preserve">CNPJ</w:t>
            </w:r>
          </w:p>
        </w:tc>
        <w:tc>
          <w:tcPr/>
          <w:p>
            <w:pPr>
              <w:pStyle w:val="Compact"/>
              <w:jc w:val="left"/>
            </w:pPr>
            <w:r>
              <w:t xml:space="preserve">12.345.678/0001-90</w:t>
            </w:r>
          </w:p>
        </w:tc>
      </w:tr>
      <w:tr>
        <w:tc>
          <w:tcPr/>
          <w:p>
            <w:pPr>
              <w:pStyle w:val="Compact"/>
              <w:jc w:val="left"/>
            </w:pPr>
            <w:r>
              <w:t xml:space="preserve">Registered Address</w:t>
            </w:r>
          </w:p>
        </w:tc>
        <w:tc>
          <w:tcPr/>
          <w:p>
            <w:pPr>
              <w:pStyle w:val="Compact"/>
              <w:jc w:val="left"/>
            </w:pPr>
            <w:r>
              <w:t xml:space="preserve">Rua Oscar Freire, 890, Jardins, São Paulo, SP — CEP 01426-001, Brazil</w:t>
            </w:r>
          </w:p>
        </w:tc>
      </w:tr>
      <w:tr>
        <w:tc>
          <w:tcPr/>
          <w:p>
            <w:pPr>
              <w:pStyle w:val="Compact"/>
              <w:jc w:val="left"/>
            </w:pPr>
            <w:r>
              <w:t xml:space="preserve">Primary Contact</w:t>
            </w:r>
          </w:p>
        </w:tc>
        <w:tc>
          <w:tcPr/>
          <w:p>
            <w:pPr>
              <w:pStyle w:val="Compact"/>
              <w:jc w:val="left"/>
            </w:pPr>
            <w:r>
              <w:t xml:space="preserve">Mr. Ricardo Almeida — Chief Financial Officer</w:t>
            </w:r>
          </w:p>
        </w:tc>
      </w:tr>
      <w:tr>
        <w:tc>
          <w:tcPr/>
          <w:p>
            <w:pPr>
              <w:pStyle w:val="Compact"/>
              <w:jc w:val="left"/>
            </w:pPr>
            <w:r>
              <w:t xml:space="preserve">Engagement Scope</w:t>
            </w:r>
          </w:p>
        </w:tc>
        <w:tc>
          <w:tcPr/>
          <w:p>
            <w:pPr>
              <w:pStyle w:val="Compact"/>
              <w:jc w:val="left"/>
            </w:pPr>
            <w:r>
              <w:t xml:space="preserve">Retained Banker Services for Corporate Treasury, Credit Facilities, and Investment Advisory in the São Paulo metropolitan region</w:t>
            </w:r>
          </w:p>
        </w:tc>
      </w:tr>
    </w:tbl>
    <w:bookmarkEnd w:id="22"/>
    <w:bookmarkStart w:id="23" w:name="scope-of-banker-services"/>
    <w:p>
      <w:pPr>
        <w:pStyle w:val="Heading3"/>
      </w:pPr>
      <w:r>
        <w:t xml:space="preserve">2. Scope of Banker Services</w:t>
      </w:r>
    </w:p>
    <w:p>
      <w:pPr>
        <w:pStyle w:val="FirstParagraph"/>
      </w:pPr>
      <w:r>
        <w:t xml:space="preserve">This Quotation Estimate outlines the comprehensive professional services to be rendered by our senior Banker team operating out of São Paulo, Brazil. The engagement encompasses the following deliverables over a twelve-month period: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Duration</w:t>
            </w:r>
          </w:p>
        </w:tc>
      </w:tr>
      <w:tr>
        <w:tc>
          <w:tcPr/>
          <w:p>
            <w:pPr>
              <w:pStyle w:val="Compact"/>
              <w:jc w:val="left"/>
            </w:pPr>
            <w:r>
              <w:t xml:space="preserve">Corporate Treasury Management</w:t>
            </w:r>
          </w:p>
        </w:tc>
        <w:tc>
          <w:tcPr/>
          <w:p>
            <w:pPr>
              <w:pStyle w:val="Compact"/>
              <w:jc w:val="left"/>
            </w:pPr>
            <w:r>
              <w:t xml:space="preserve">Daily cash-flow optimization, intercompany fund transfers across São Paulo and national branches, foreign exchange hedging (USD/BRL, EUR/BRL), and liquidity forecasting aligned with BACEN regulations.</w:t>
            </w:r>
          </w:p>
        </w:tc>
        <w:tc>
          <w:tcPr/>
          <w:p>
            <w:pPr>
              <w:pStyle w:val="Compact"/>
              <w:jc w:val="left"/>
            </w:pPr>
            <w:r>
              <w:t xml:space="preserve">12 months</w:t>
            </w:r>
          </w:p>
        </w:tc>
      </w:tr>
      <w:tr>
        <w:tc>
          <w:tcPr/>
          <w:p>
            <w:pPr>
              <w:pStyle w:val="Compact"/>
              <w:jc w:val="left"/>
            </w:pPr>
            <w:r>
              <w:t xml:space="preserve">Credit Facility Structuring</w:t>
            </w:r>
          </w:p>
        </w:tc>
        <w:tc>
          <w:tcPr/>
          <w:p>
            <w:pPr>
              <w:pStyle w:val="Compact"/>
              <w:jc w:val="left"/>
            </w:pPr>
            <w:r>
              <w:t xml:space="preserve">Negotiation and management of revolving credit lines, term loans, and trade finance instruments with major Brazilian financial institutions (Itaú, Bradesco, Banco do Brasil, Caixa Econômica Federal) headquartered or operating in São Paulo.</w:t>
            </w:r>
          </w:p>
        </w:tc>
        <w:tc>
          <w:tcPr/>
          <w:p>
            <w:pPr>
              <w:pStyle w:val="Compact"/>
              <w:jc w:val="left"/>
            </w:pPr>
            <w:r>
              <w:t xml:space="preserve">12 months</w:t>
            </w:r>
          </w:p>
        </w:tc>
      </w:tr>
      <w:tr>
        <w:tc>
          <w:tcPr/>
          <w:p>
            <w:pPr>
              <w:pStyle w:val="Compact"/>
              <w:jc w:val="left"/>
            </w:pPr>
            <w:r>
              <w:t xml:space="preserve">Investment Advisory</w:t>
            </w:r>
          </w:p>
        </w:tc>
        <w:tc>
          <w:tcPr/>
          <w:p>
            <w:pPr>
              <w:pStyle w:val="Compact"/>
              <w:jc w:val="left"/>
            </w:pPr>
            <w:r>
              <w:t xml:space="preserve">Portfolio construction and rebalancing across fixed-income (Tesouro Direto, CDBs, LCIs), equity (B3 São Paulo Stock Exchange), and alternative investment vehicles available in the Brazilian market.</w:t>
            </w:r>
          </w:p>
        </w:tc>
        <w:tc>
          <w:tcPr/>
          <w:p>
            <w:pPr>
              <w:pStyle w:val="Compact"/>
              <w:jc w:val="left"/>
            </w:pPr>
            <w:r>
              <w:t xml:space="preserve">12 months</w:t>
            </w:r>
          </w:p>
        </w:tc>
      </w:tr>
      <w:tr>
        <w:tc>
          <w:tcPr/>
          <w:p>
            <w:pPr>
              <w:pStyle w:val="Compact"/>
              <w:jc w:val="left"/>
            </w:pPr>
            <w:r>
              <w:t xml:space="preserve">Regulatory Compliance &amp; Reporting</w:t>
            </w:r>
          </w:p>
        </w:tc>
        <w:tc>
          <w:tcPr/>
          <w:p>
            <w:pPr>
              <w:pStyle w:val="Compact"/>
              <w:jc w:val="left"/>
            </w:pPr>
            <w:r>
              <w:t xml:space="preserve">Ongoing compliance with Central Bank of Brazil (Banco Central do Brasil) directives, CVM (Comissão de Valores Mobiliários) disclosure requirements, and São Paulo state tax obligations (ICMS, ITCMD) as they pertain to financial instruments.</w:t>
            </w:r>
          </w:p>
        </w:tc>
        <w:tc>
          <w:tcPr/>
          <w:p>
            <w:pPr>
              <w:pStyle w:val="Compact"/>
              <w:jc w:val="left"/>
            </w:pPr>
            <w:r>
              <w:t xml:space="preserve">12 months</w:t>
            </w:r>
          </w:p>
        </w:tc>
      </w:tr>
      <w:tr>
        <w:tc>
          <w:tcPr/>
          <w:p>
            <w:pPr>
              <w:pStyle w:val="Compact"/>
              <w:jc w:val="left"/>
            </w:pPr>
            <w:r>
              <w:t xml:space="preserve">Strategic Banking Relationships</w:t>
            </w:r>
          </w:p>
        </w:tc>
        <w:tc>
          <w:tcPr/>
          <w:p>
            <w:pPr>
              <w:pStyle w:val="Compact"/>
              <w:jc w:val="left"/>
            </w:pPr>
            <w:r>
              <w:t xml:space="preserve">Maintenance and expansion of the client's banking network across São Paulo, including relationship management with at least four tier-one banks and two regional credit cooperatives (cooperativas de crédito) in the state of São Paulo.</w:t>
            </w:r>
          </w:p>
        </w:tc>
        <w:tc>
          <w:tcPr/>
          <w:p>
            <w:pPr>
              <w:pStyle w:val="Compact"/>
              <w:jc w:val="left"/>
            </w:pPr>
            <w:r>
              <w:t xml:space="preserve">12 months</w:t>
            </w:r>
          </w:p>
        </w:tc>
      </w:tr>
    </w:tbl>
    <w:bookmarkEnd w:id="23"/>
    <w:bookmarkStart w:id="24" w:name="fee-structure-pricing"/>
    <w:p>
      <w:pPr>
        <w:pStyle w:val="Heading3"/>
      </w:pPr>
      <w:r>
        <w:t xml:space="preserve">3. Fee Structure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Unit</w:t>
            </w:r>
          </w:p>
        </w:tc>
        <w:tc>
          <w:tcPr/>
          <w:p>
            <w:pPr>
              <w:pStyle w:val="Compact"/>
              <w:jc w:val="left"/>
            </w:pPr>
            <w:r>
              <w:t xml:space="preserve">Rate (BRL)</w:t>
            </w:r>
          </w:p>
        </w:tc>
        <w:tc>
          <w:tcPr/>
          <w:p>
            <w:pPr>
              <w:pStyle w:val="Compact"/>
              <w:jc w:val="left"/>
            </w:pPr>
            <w:r>
              <w:t xml:space="preserve">Quantity</w:t>
            </w:r>
          </w:p>
        </w:tc>
        <w:tc>
          <w:tcPr/>
          <w:p>
            <w:pPr>
              <w:pStyle w:val="Compact"/>
              <w:jc w:val="left"/>
            </w:pPr>
            <w:r>
              <w:t xml:space="preserve">Subtotal (BRL)</w:t>
            </w:r>
          </w:p>
        </w:tc>
      </w:tr>
      <w:tr>
        <w:tc>
          <w:tcPr/>
          <w:p>
            <w:pPr>
              <w:pStyle w:val="Compact"/>
              <w:jc w:val="left"/>
            </w:pPr>
            <w:r>
              <w:t xml:space="preserve">Senior Banker Retainer (Monthly)</w:t>
            </w:r>
          </w:p>
        </w:tc>
        <w:tc>
          <w:tcPr/>
          <w:p>
            <w:pPr>
              <w:pStyle w:val="Compact"/>
              <w:jc w:val="left"/>
            </w:pPr>
            <w:r>
              <w:t xml:space="preserve">Month</w:t>
            </w:r>
          </w:p>
        </w:tc>
        <w:tc>
          <w:tcPr/>
          <w:p>
            <w:pPr>
              <w:pStyle w:val="Compact"/>
              <w:jc w:val="left"/>
            </w:pPr>
            <w:r>
              <w:t xml:space="preserve">R$ 48,500.00</w:t>
            </w:r>
          </w:p>
        </w:tc>
        <w:tc>
          <w:tcPr/>
          <w:p>
            <w:pPr>
              <w:pStyle w:val="Compact"/>
              <w:jc w:val="left"/>
            </w:pPr>
            <w:r>
              <w:t xml:space="preserve">12</w:t>
            </w:r>
          </w:p>
        </w:tc>
        <w:tc>
          <w:tcPr/>
          <w:p>
            <w:pPr>
              <w:pStyle w:val="Compact"/>
              <w:jc w:val="left"/>
            </w:pPr>
            <w:r>
              <w:t xml:space="preserve">R$ 582,000.00</w:t>
            </w:r>
          </w:p>
        </w:tc>
      </w:tr>
      <w:tr>
        <w:tc>
          <w:tcPr/>
          <w:p>
            <w:pPr>
              <w:pStyle w:val="Compact"/>
              <w:jc w:val="left"/>
            </w:pPr>
            <w:r>
              <w:t xml:space="preserve">Credit Facility Negotiation Fee</w:t>
            </w:r>
          </w:p>
        </w:tc>
        <w:tc>
          <w:tcPr/>
          <w:p>
            <w:pPr>
              <w:pStyle w:val="Compact"/>
              <w:jc w:val="left"/>
            </w:pPr>
            <w:r>
              <w:t xml:space="preserve">Per facility</w:t>
            </w:r>
          </w:p>
        </w:tc>
        <w:tc>
          <w:tcPr/>
          <w:p>
            <w:pPr>
              <w:pStyle w:val="Compact"/>
              <w:jc w:val="left"/>
            </w:pPr>
            <w:r>
              <w:t xml:space="preserve">R$ 35,000.00</w:t>
            </w:r>
          </w:p>
        </w:tc>
        <w:tc>
          <w:tcPr/>
          <w:p>
            <w:pPr>
              <w:pStyle w:val="Compact"/>
              <w:jc w:val="left"/>
            </w:pPr>
            <w:r>
              <w:t xml:space="preserve">3</w:t>
            </w:r>
          </w:p>
        </w:tc>
        <w:tc>
          <w:tcPr/>
          <w:p>
            <w:pPr>
              <w:pStyle w:val="Compact"/>
              <w:jc w:val="left"/>
            </w:pPr>
            <w:r>
              <w:t xml:space="preserve">R$ 105,000.00</w:t>
            </w:r>
          </w:p>
        </w:tc>
      </w:tr>
      <w:tr>
        <w:tc>
          <w:tcPr/>
          <w:p>
            <w:pPr>
              <w:pStyle w:val="Compact"/>
              <w:jc w:val="left"/>
            </w:pPr>
            <w:r>
              <w:t xml:space="preserve">Investment Advisory (Performance-Based)</w:t>
            </w:r>
          </w:p>
        </w:tc>
        <w:tc>
          <w:tcPr/>
          <w:p>
            <w:pPr>
              <w:pStyle w:val="Compact"/>
              <w:jc w:val="left"/>
            </w:pPr>
            <w:r>
              <w:t xml:space="preserve">Annual</w:t>
            </w:r>
          </w:p>
        </w:tc>
        <w:tc>
          <w:tcPr/>
          <w:p>
            <w:pPr>
              <w:pStyle w:val="Compact"/>
              <w:jc w:val="left"/>
            </w:pPr>
            <w:r>
              <w:t xml:space="preserve">R$ 22,000.00</w:t>
            </w:r>
          </w:p>
        </w:tc>
        <w:tc>
          <w:tcPr/>
          <w:p>
            <w:pPr>
              <w:pStyle w:val="Compact"/>
              <w:jc w:val="left"/>
            </w:pPr>
            <w:r>
              <w:t xml:space="preserve">1</w:t>
            </w:r>
          </w:p>
        </w:tc>
        <w:tc>
          <w:tcPr/>
          <w:p>
            <w:pPr>
              <w:pStyle w:val="Compact"/>
              <w:jc w:val="left"/>
            </w:pPr>
            <w:r>
              <w:t xml:space="preserve">R$ 22,000.00</w:t>
            </w:r>
          </w:p>
        </w:tc>
      </w:tr>
      <w:tr>
        <w:tc>
          <w:tcPr/>
          <w:p>
            <w:pPr>
              <w:pStyle w:val="Compact"/>
              <w:jc w:val="left"/>
            </w:pPr>
            <w:r>
              <w:t xml:space="preserve">Regulatory Compliance &amp; Reporting</w:t>
            </w:r>
          </w:p>
        </w:tc>
        <w:tc>
          <w:tcPr/>
          <w:p>
            <w:pPr>
              <w:pStyle w:val="Compact"/>
              <w:jc w:val="left"/>
            </w:pPr>
            <w:r>
              <w:t xml:space="preserve">Quarterly</w:t>
            </w:r>
          </w:p>
        </w:tc>
        <w:tc>
          <w:tcPr/>
          <w:p>
            <w:pPr>
              <w:pStyle w:val="Compact"/>
              <w:jc w:val="left"/>
            </w:pPr>
            <w:r>
              <w:t xml:space="preserve">R$ 14,800.00</w:t>
            </w:r>
          </w:p>
        </w:tc>
        <w:tc>
          <w:tcPr/>
          <w:p>
            <w:pPr>
              <w:pStyle w:val="Compact"/>
              <w:jc w:val="left"/>
            </w:pPr>
            <w:r>
              <w:t xml:space="preserve">4</w:t>
            </w:r>
          </w:p>
        </w:tc>
        <w:tc>
          <w:tcPr/>
          <w:p>
            <w:pPr>
              <w:pStyle w:val="Compact"/>
              <w:jc w:val="left"/>
            </w:pPr>
            <w:r>
              <w:t xml:space="preserve">R$ 59,200.00</w:t>
            </w:r>
          </w:p>
        </w:tc>
      </w:tr>
      <w:tr>
        <w:tc>
          <w:tcPr/>
          <w:p>
            <w:pPr>
              <w:pStyle w:val="Compact"/>
              <w:jc w:val="left"/>
            </w:pPr>
            <w:r>
              <w:t xml:space="preserve">On-Site Consultation (São Paulo Office)</w:t>
            </w:r>
          </w:p>
        </w:tc>
        <w:tc>
          <w:tcPr/>
          <w:p>
            <w:pPr>
              <w:pStyle w:val="Compact"/>
              <w:jc w:val="left"/>
            </w:pPr>
            <w:r>
              <w:t xml:space="preserve">Hour</w:t>
            </w:r>
          </w:p>
        </w:tc>
        <w:tc>
          <w:tcPr/>
          <w:p>
            <w:pPr>
              <w:pStyle w:val="Compact"/>
              <w:jc w:val="left"/>
            </w:pPr>
            <w:r>
              <w:t xml:space="preserve">R$ 1,200.00</w:t>
            </w:r>
          </w:p>
        </w:tc>
        <w:tc>
          <w:tcPr/>
          <w:p>
            <w:pPr>
              <w:pStyle w:val="Compact"/>
              <w:jc w:val="left"/>
            </w:pPr>
            <w:r>
              <w:t xml:space="preserve">40</w:t>
            </w:r>
          </w:p>
        </w:tc>
        <w:tc>
          <w:tcPr/>
          <w:p>
            <w:pPr>
              <w:pStyle w:val="Compact"/>
              <w:jc w:val="left"/>
            </w:pPr>
            <w:r>
              <w:t xml:space="preserve">R$ 48,000.00</w:t>
            </w:r>
          </w:p>
        </w:tc>
      </w:tr>
      <w:tr>
        <w:tc>
          <w:tcPr/>
          <w:p>
            <w:pPr>
              <w:pStyle w:val="Compact"/>
              <w:jc w:val="left"/>
            </w:pPr>
            <w:r>
              <w:t xml:space="preserve">Travel &amp; Logistics within São Paulo Metro</w:t>
            </w:r>
          </w:p>
        </w:tc>
        <w:tc>
          <w:tcPr/>
          <w:p>
            <w:pPr>
              <w:pStyle w:val="Compact"/>
              <w:jc w:val="left"/>
            </w:pPr>
            <w:r>
              <w:t xml:space="preserve">Monthly</w:t>
            </w:r>
          </w:p>
        </w:tc>
        <w:tc>
          <w:tcPr/>
          <w:p>
            <w:pPr>
              <w:pStyle w:val="Compact"/>
              <w:jc w:val="left"/>
            </w:pPr>
            <w:r>
              <w:t xml:space="preserve">R$ 3,500.00</w:t>
            </w:r>
          </w:p>
        </w:tc>
        <w:tc>
          <w:tcPr/>
          <w:p>
            <w:pPr>
              <w:pStyle w:val="Compact"/>
              <w:jc w:val="left"/>
            </w:pPr>
            <w:r>
              <w:t xml:space="preserve">12</w:t>
            </w:r>
          </w:p>
        </w:tc>
        <w:tc>
          <w:tcPr/>
          <w:p>
            <w:pPr>
              <w:pStyle w:val="Compact"/>
              <w:jc w:val="left"/>
            </w:pPr>
            <w:r>
              <w:t xml:space="preserve">R$ 42,000.00</w:t>
            </w:r>
          </w:p>
        </w:tc>
      </w:tr>
      <w:tr>
        <w:tc>
          <w:tcPr>
            <w:gridSpan w:val="4"/>
          </w:tcPr>
          <w:p>
            <w:pPr>
              <w:pStyle w:val="Compact"/>
              <w:jc w:val="left"/>
            </w:pPr>
            <w:r>
              <w:t xml:space="preserve">TOTAL ESTIMATED COST (before taxes)</w:t>
            </w:r>
          </w:p>
        </w:tc>
        <w:tc>
          <w:tcPr/>
          <w:p>
            <w:pPr>
              <w:pStyle w:val="Compact"/>
              <w:jc w:val="left"/>
            </w:pPr>
            <w:r>
              <w:t xml:space="preserve">R$ 858,200.00</w:t>
            </w:r>
          </w:p>
        </w:tc>
      </w:tr>
      <w:tr>
        <w:tc>
          <w:tcPr>
            <w:gridSpan w:val="4"/>
          </w:tcPr>
          <w:p>
            <w:pPr>
              <w:pStyle w:val="Compact"/>
              <w:jc w:val="left"/>
            </w:pPr>
            <w:r>
              <w:t xml:space="preserve">ISS (Serviços de Informática) / ISS Tax (5.5% — São Paulo municipal)</w:t>
            </w:r>
          </w:p>
        </w:tc>
        <w:tc>
          <w:tcPr/>
          <w:p>
            <w:pPr>
              <w:pStyle w:val="Compact"/>
              <w:jc w:val="left"/>
            </w:pPr>
            <w:r>
              <w:t xml:space="preserve">R$ 47,201.00</w:t>
            </w:r>
          </w:p>
        </w:tc>
      </w:tr>
      <w:tr>
        <w:tc>
          <w:tcPr>
            <w:gridSpan w:val="4"/>
          </w:tcPr>
          <w:p>
            <w:pPr>
              <w:pStyle w:val="Compact"/>
              <w:jc w:val="left"/>
            </w:pPr>
            <w:r>
              <w:t xml:space="preserve">GRAND TOTAL (BRL)</w:t>
            </w:r>
          </w:p>
        </w:tc>
        <w:tc>
          <w:tcPr/>
          <w:p>
            <w:pPr>
              <w:pStyle w:val="Compact"/>
              <w:jc w:val="left"/>
            </w:pPr>
            <w:r>
              <w:t xml:space="preserve">R$ 905,401.00</w:t>
            </w:r>
          </w:p>
        </w:tc>
      </w:tr>
    </w:tbl>
    <w:bookmarkEnd w:id="24"/>
    <w:bookmarkStart w:id="25" w:name="payment-terms"/>
    <w:p>
      <w:pPr>
        <w:pStyle w:val="Heading3"/>
      </w:pPr>
      <w:r>
        <w:t xml:space="preserve">4. Payment Terms</w:t>
      </w:r>
    </w:p>
    <w:p>
      <w:pPr>
        <w:pStyle w:val="FirstParagraph"/>
      </w:pPr>
      <w:r>
        <w:t xml:space="preserve">All fees shall be invoiced monthly in advance via TED (Transferência Eletrônica Disponível) or DOC transfer to the account of São Paulo Financial Advisory Group at Banco Itaú, Ag. 0452, Conta 88.771-3, São Paulo, SP. Payment is due within fifteen (15) calendar days of invoice date. Late payments shall accrue interest at the rate of 1% per month plus a 2% penalty, in accordance with Brazilian commercial law (Código Civil, Art. 412).</w:t>
      </w:r>
    </w:p>
    <w:bookmarkEnd w:id="25"/>
    <w:bookmarkStart w:id="26" w:name="terms-conditions"/>
    <w:p>
      <w:pPr>
        <w:pStyle w:val="Heading3"/>
      </w:pPr>
      <w:r>
        <w:t xml:space="preserve">5. Terms &amp; Conditions</w:t>
      </w:r>
    </w:p>
    <w:p>
      <w:pPr>
        <w:numPr>
          <w:ilvl w:val="0"/>
          <w:numId w:val="1001"/>
        </w:numPr>
        <w:pStyle w:val="Compact"/>
      </w:pPr>
      <w:r>
        <w:t xml:space="preserve">This Quotation Estimate is valid for thirty (30) calendar days from the date of issue. After the expiration date, all rates and terms are subject to revision based on prevailing market conditions in São Paulo and the broader Brazilian financial sector.</w:t>
      </w:r>
    </w:p>
    <w:p>
      <w:pPr>
        <w:numPr>
          <w:ilvl w:val="0"/>
          <w:numId w:val="1001"/>
        </w:numPr>
        <w:pStyle w:val="Compact"/>
      </w:pPr>
      <w:r>
        <w:t xml:space="preserve">The Banker services described herein are governed by the regulations of the Central Bank of Brazil (BACEN) and the Brazilian Securities and Exchange Commission (CVM). The service provider holds the requisite licenses and registrations to operate as a financial intermediary in the state of São Paulo.</w:t>
      </w:r>
    </w:p>
    <w:p>
      <w:pPr>
        <w:numPr>
          <w:ilvl w:val="0"/>
          <w:numId w:val="1001"/>
        </w:numPr>
        <w:pStyle w:val="Compact"/>
      </w:pPr>
      <w:r>
        <w:t xml:space="preserve">Confidentiality: All financial data, transaction records, and strategic information shared by the client shall be treated as strictly confidential in compliance with Brazil's General Data Protection Law (LGPD — Lei nº 13.709/2018) and applicable banking secrecy provisions (Lei nº 4.595/1964).</w:t>
      </w:r>
    </w:p>
    <w:p>
      <w:pPr>
        <w:numPr>
          <w:ilvl w:val="0"/>
          <w:numId w:val="1001"/>
        </w:numPr>
        <w:pStyle w:val="Compact"/>
      </w:pPr>
      <w:r>
        <w:t xml:space="preserve">Termination: Either party may terminate the engagement with sixty (60) days' written notice. In the event of early termination, a pro-rata fee for services rendered up to the termination date shall be due.</w:t>
      </w:r>
    </w:p>
    <w:p>
      <w:pPr>
        <w:numPr>
          <w:ilvl w:val="0"/>
          <w:numId w:val="1001"/>
        </w:numPr>
        <w:pStyle w:val="Compact"/>
      </w:pPr>
      <w:r>
        <w:t xml:space="preserve">Dispute Resolution: Any disputes arising from this Quotation Estimate and the subsequent service agreement shall be resolved through arbitration in São Paulo, SP, Brazil, under the rules of CAMARB (Câmara de Arbitragem do Mercado), in the Portuguese language.</w:t>
      </w:r>
    </w:p>
    <w:p>
      <w:pPr>
        <w:numPr>
          <w:ilvl w:val="0"/>
          <w:numId w:val="1001"/>
        </w:numPr>
        <w:pStyle w:val="Compact"/>
      </w:pPr>
      <w:r>
        <w:t xml:space="preserve">This Quotation Estimate does not constitute a binding contract until a formal Service Agreement is executed by both parties.</w:t>
      </w:r>
    </w:p>
    <w:bookmarkEnd w:id="26"/>
    <w:p>
      <w:pPr>
        <w:pStyle w:val="FirstParagraph"/>
      </w:pPr>
      <w:r>
        <w:rPr>
          <w:bCs/>
          <w:b/>
        </w:rPr>
        <w:t xml:space="preserve">Important Note:</w:t>
      </w:r>
      <w:r>
        <w:t xml:space="preserve"> </w:t>
      </w:r>
      <w:r>
        <w:t xml:space="preserve">All monetary values in this Quotation Estimate are expressed in Brazilian Reais (BRL). Exchange rate fluctuations between BRL and any foreign currency shall not affect the invoicing amount, which is fixed in BRL. The client acknowledges that the Banker services are tailored to the regulatory and operational environment of São Paulo, Brazil, and may not be directly transferable to other jurisdictions without additional assessment.</w:t>
      </w:r>
    </w:p>
    <w:bookmarkStart w:id="27" w:name="acceptance-authorization"/>
    <w:p>
      <w:pPr>
        <w:pStyle w:val="Heading3"/>
      </w:pPr>
      <w:r>
        <w:t xml:space="preserve">6. Acceptance &amp; Authorization</w:t>
      </w:r>
    </w:p>
    <w:p>
      <w:pPr>
        <w:pStyle w:val="FirstParagraph"/>
      </w:pPr>
      <w:r>
        <w:t xml:space="preserve">By signing below, the client acknowledges receipt of this Quotation Estimate for Banker services in Brazil, São Paulo, and authorizes the service provider to proceed with the engagement under the terms and conditions outlined herein.</w:t>
      </w:r>
    </w:p>
    <w:bookmarkEnd w:id="27"/>
    <w:p>
      <w:pPr>
        <w:pStyle w:val="BodyText"/>
      </w:pPr>
      <w:r>
        <w:rPr>
          <w:bCs/>
          <w:b/>
        </w:rPr>
        <w:t xml:space="preserve">For: São Paulo Financial Advisory Group</w:t>
      </w:r>
      <w:r>
        <w:br/>
      </w:r>
      <w:r>
        <w:t xml:space="preserve">Name: Dr. Helena Vasconcelos</w:t>
      </w:r>
      <w:r>
        <w:br/>
      </w:r>
      <w:r>
        <w:t xml:space="preserve">Title: Managing Partner &amp; Senior Banker</w:t>
      </w:r>
      <w:r>
        <w:br/>
      </w:r>
      <w:r>
        <w:t xml:space="preserve">CVM Registration: 058.234</w:t>
      </w:r>
    </w:p>
    <w:p>
      <w:pPr>
        <w:pStyle w:val="BodyText"/>
      </w:pPr>
      <w:r>
        <w:rPr>
          <w:bCs/>
          <w:b/>
        </w:rPr>
        <w:t xml:space="preserve">For: Meridian Industrial Holdings Ltda.</w:t>
      </w:r>
      <w:r>
        <w:br/>
      </w:r>
      <w:r>
        <w:t xml:space="preserve">Name: Mr. Ricardo Almeida</w:t>
      </w:r>
      <w:r>
        <w:br/>
      </w:r>
      <w:r>
        <w:t xml:space="preserve">Title: Chief Financial Officer</w:t>
      </w:r>
      <w:r>
        <w:br/>
      </w:r>
      <w:r>
        <w:t xml:space="preserve">CNPJ: 12.345.678/0001-90</w:t>
      </w:r>
    </w:p>
    <w:p>
      <w:pPr>
        <w:pStyle w:val="BodyText"/>
      </w:pPr>
      <w:r>
        <w:rPr>
          <w:bCs/>
          <w:b/>
        </w:rPr>
        <w:t xml:space="preserve">São Paulo Financial Advisory Group</w:t>
      </w:r>
      <w:r>
        <w:t xml:space="preserve"> </w:t>
      </w:r>
      <w:r>
        <w:t xml:space="preserve">— Av. Paulista, 1578, Bela Vista, São Paulo, SP — CEP 01310-200, Brazil</w:t>
      </w:r>
      <w:r>
        <w:br/>
      </w:r>
      <w:r>
        <w:t xml:space="preserve">CNPJ: 98.765.432/0001-10 | BACEN Registration: 023.456.789 | CVM: 012.345</w:t>
      </w:r>
      <w:r>
        <w:br/>
      </w:r>
      <w:r>
        <w:t xml:space="preserve">This Quotation Estimate was prepared exclusively for the client named above and may not be reproduced or distributed without prior written consent. Document QE-BRK-SP-2025-0472.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Brazil São Paulo</dc:title>
  <dc:creator/>
  <dc:language>en</dc:language>
  <cp:keywords/>
  <dcterms:created xsi:type="dcterms:W3CDTF">2026-10-10T09:45:19Z</dcterms:created>
  <dcterms:modified xsi:type="dcterms:W3CDTF">2026-10-10T09:45:19Z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