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6" w:name="quotation-estimate"/>
    <w:p>
      <w:pPr>
        <w:pStyle w:val="Heading1"/>
      </w:pPr>
      <w:r>
        <w:t xml:space="preserve">QUOTATION ESTIMATE</w:t>
      </w:r>
    </w:p>
    <w:p>
      <w:pPr>
        <w:pStyle w:val="FirstParagraph"/>
      </w:pPr>
      <w:r>
        <w:t xml:space="preserve">Professional Banking &amp; Financial Advisory Services</w:t>
      </w:r>
    </w:p>
    <w:p>
      <w:pPr>
        <w:pStyle w:val="BodyText"/>
      </w:pPr>
      <w:r>
        <w:t xml:space="preserve">Canada – Montreal, Quebec</w:t>
      </w:r>
    </w:p>
    <w:p>
      <w:pPr>
        <w:pStyle w:val="BodyText"/>
      </w:pPr>
      <w:r>
        <w:rPr>
          <w:bCs/>
          <w:b/>
        </w:rPr>
        <w:t xml:space="preserve">Issued By:</w:t>
      </w:r>
      <w:r>
        <w:br/>
      </w:r>
      <w:r>
        <w:t xml:space="preserve">Meridian Financial Advisory Group Inc.</w:t>
      </w:r>
      <w:r>
        <w:br/>
      </w:r>
      <w:r>
        <w:t xml:space="preserve">1250 Rue Sainte-Catherine Ouest, Suite 4800</w:t>
      </w:r>
      <w:r>
        <w:br/>
      </w:r>
      <w:r>
        <w:t xml:space="preserve">Montreal, Quebec H3B 4W8</w:t>
      </w:r>
      <w:r>
        <w:br/>
      </w:r>
      <w:r>
        <w:t xml:space="preserve">Canada</w:t>
      </w:r>
      <w:r>
        <w:br/>
      </w:r>
      <w:r>
        <w:t xml:space="preserve">Tel: (514) 555-0192</w:t>
      </w:r>
      <w:r>
        <w:br/>
      </w:r>
      <w:r>
        <w:t xml:space="preserve">Email: quotes@meridianfinancial.ca</w:t>
      </w:r>
    </w:p>
    <w:p>
      <w:pPr>
        <w:pStyle w:val="BodyText"/>
      </w:pPr>
      <w:r>
        <w:rPr>
          <w:bCs/>
          <w:b/>
        </w:rPr>
        <w:t xml:space="preserve">Quotation No.:</w:t>
      </w:r>
      <w:r>
        <w:t xml:space="preserve"> </w:t>
      </w:r>
      <w:r>
        <w:t xml:space="preserve">QTE-2025-MTL-04782</w:t>
      </w:r>
      <w:r>
        <w:br/>
      </w:r>
      <w:r>
        <w:rPr>
          <w:bCs/>
          <w:b/>
        </w:rPr>
        <w:t xml:space="preserve">Date Issued:</w:t>
      </w:r>
      <w:r>
        <w:t xml:space="preserve"> </w:t>
      </w:r>
      <w:r>
        <w:t xml:space="preserve">June 12, 2025</w:t>
      </w:r>
      <w:r>
        <w:br/>
      </w:r>
      <w:r>
        <w:rPr>
          <w:bCs/>
          <w:b/>
        </w:rPr>
        <w:t xml:space="preserve">Valid Until:</w:t>
      </w:r>
      <w:r>
        <w:t xml:space="preserve"> </w:t>
      </w:r>
      <w:r>
        <w:t xml:space="preserve">July 12, 2025</w:t>
      </w:r>
      <w:r>
        <w:br/>
      </w:r>
      <w:r>
        <w:rPr>
          <w:bCs/>
          <w:b/>
        </w:rPr>
        <w:t xml:space="preserve">Prepared By:</w:t>
      </w:r>
      <w:r>
        <w:t xml:space="preserve"> </w:t>
      </w:r>
      <w:r>
        <w:t xml:space="preserve">R. Deschamps, Senior Banker</w:t>
      </w:r>
    </w:p>
    <w:bookmarkStart w:id="20" w:name="client-information"/>
    <w:p>
      <w:pPr>
        <w:pStyle w:val="Heading2"/>
      </w:pPr>
      <w:r>
        <w:t xml:space="preserve">1. Client Information</w:t>
      </w:r>
    </w:p>
    <w:p>
      <w:pPr>
        <w:pStyle w:val="FirstParagraph"/>
      </w:pPr>
      <w:r>
        <w:rPr>
          <w:bCs/>
          <w:b/>
        </w:rPr>
        <w:t xml:space="preserve">Client Name:</w:t>
      </w:r>
      <w:r>
        <w:t xml:space="preserve"> </w:t>
      </w:r>
      <w:r>
        <w:t xml:space="preserve">[Client / Company Name]</w:t>
      </w:r>
      <w:r>
        <w:br/>
      </w:r>
      <w:r>
        <w:rPr>
          <w:bCs/>
          <w:b/>
        </w:rPr>
        <w:t xml:space="preserve">Address:</w:t>
      </w:r>
      <w:r>
        <w:t xml:space="preserve"> </w:t>
      </w:r>
      <w:r>
        <w:t xml:space="preserve">[Street Address], Montreal, Quebec, Canada</w:t>
      </w:r>
      <w:r>
        <w:br/>
      </w:r>
      <w:r>
        <w:rPr>
          <w:bCs/>
          <w:b/>
        </w:rPr>
        <w:t xml:space="preserve">Contact Person:</w:t>
      </w:r>
      <w:r>
        <w:t xml:space="preserve"> </w:t>
      </w:r>
      <w:r>
        <w:t xml:space="preserve">[Name]</w:t>
      </w:r>
      <w:r>
        <w:br/>
      </w:r>
      <w:r>
        <w:rPr>
          <w:bCs/>
          <w:b/>
        </w:rPr>
        <w:t xml:space="preserve">Email:</w:t>
      </w:r>
      <w:r>
        <w:t xml:space="preserve"> </w:t>
      </w:r>
      <w:r>
        <w:t xml:space="preserve">[email address]</w:t>
      </w:r>
      <w:r>
        <w:br/>
      </w:r>
      <w:r>
        <w:rPr>
          <w:bCs/>
          <w:b/>
        </w:rPr>
        <w:t xml:space="preserve">Phone:</w:t>
      </w:r>
      <w:r>
        <w:t xml:space="preserve"> </w:t>
      </w:r>
      <w:r>
        <w:t xml:space="preserve">[phone number]</w:t>
      </w:r>
      <w:r>
        <w:br/>
      </w:r>
      <w:r>
        <w:rPr>
          <w:bCs/>
          <w:b/>
        </w:rPr>
        <w:t xml:space="preserve">Business Registration No. (QRC):</w:t>
      </w:r>
      <w:r>
        <w:t xml:space="preserve"> </w:t>
      </w:r>
      <w:r>
        <w:t xml:space="preserve">[Registration Number]</w:t>
      </w:r>
    </w:p>
    <w:bookmarkEnd w:id="20"/>
    <w:bookmarkStart w:id="21" w:name="purpose-of-this-quotation-estimate"/>
    <w:p>
      <w:pPr>
        <w:pStyle w:val="Heading2"/>
      </w:pPr>
      <w:r>
        <w:t xml:space="preserve">2. Purpose of This Quotation Estimate</w:t>
      </w:r>
    </w:p>
    <w:p>
      <w:pPr>
        <w:pStyle w:val="FirstParagraph"/>
      </w:pPr>
      <w:r>
        <w:t xml:space="preserve">This Quotation Estimate is issued by Meridian Financial Advisory Group Inc. to provide a comprehensive, itemized cost breakdown for the engagement of a qualified Banker and associated financial advisory services to be delivered in Montreal, Canada. The services outlined herein are intended to support the client's banking operations, treasury management, credit facilitation, and strategic financial planning within the Province of Quebec and the broader Canadian financial framework. This document serves as a formal Quotation Estimate and does not constitute a binding contract until countersigned by both parties.</w:t>
      </w:r>
    </w:p>
    <w:bookmarkEnd w:id="21"/>
    <w:bookmarkStart w:id="22" w:name="scope-of-banker-services"/>
    <w:p>
      <w:pPr>
        <w:pStyle w:val="Heading2"/>
      </w:pPr>
      <w:r>
        <w:t xml:space="preserve">3. Scope of Banker Services</w:t>
      </w:r>
    </w:p>
    <w:p>
      <w:pPr>
        <w:pStyle w:val="FirstParagraph"/>
      </w:pPr>
      <w:r>
        <w:t xml:space="preserve">The following services will be rendered by a licensed Banker operating under the regulatory oversight of the Office of the Superintendent of Financial Institutions (OSFI) and the Autorité des marchés financiers (AMF) of Quebec, Canada:</w:t>
      </w:r>
    </w:p>
    <w:p>
      <w:pPr>
        <w:numPr>
          <w:ilvl w:val="0"/>
          <w:numId w:val="1001"/>
        </w:numPr>
        <w:pStyle w:val="Compact"/>
      </w:pPr>
      <w:r>
        <w:rPr>
          <w:bCs/>
          <w:b/>
        </w:rPr>
        <w:t xml:space="preserve">Corporate Banking Advisory:</w:t>
      </w:r>
      <w:r>
        <w:t xml:space="preserve"> </w:t>
      </w:r>
      <w:r>
        <w:t xml:space="preserve">Ongoing consultation on corporate account structures, multi-currency banking arrangements, and interbank relationships tailored to the client's operational needs in Montreal and across Canada.</w:t>
      </w:r>
    </w:p>
    <w:p>
      <w:pPr>
        <w:numPr>
          <w:ilvl w:val="0"/>
          <w:numId w:val="1001"/>
        </w:numPr>
        <w:pStyle w:val="Compact"/>
      </w:pPr>
      <w:r>
        <w:rPr>
          <w:bCs/>
          <w:b/>
        </w:rPr>
        <w:t xml:space="preserve">Treasury &amp; Cash Management:</w:t>
      </w:r>
      <w:r>
        <w:t xml:space="preserve"> </w:t>
      </w:r>
      <w:r>
        <w:t xml:space="preserve">Design and implementation of cash flow optimization strategies, including sweep accounts, automated payment processing, and liquidity forecasting for the client's Montreal-based operations.</w:t>
      </w:r>
    </w:p>
    <w:p>
      <w:pPr>
        <w:numPr>
          <w:ilvl w:val="0"/>
          <w:numId w:val="1001"/>
        </w:numPr>
        <w:pStyle w:val="Compact"/>
      </w:pPr>
      <w:r>
        <w:rPr>
          <w:bCs/>
          <w:b/>
        </w:rPr>
        <w:t xml:space="preserve">Credit &amp; Lending Facilitation:</w:t>
      </w:r>
      <w:r>
        <w:t xml:space="preserve"> </w:t>
      </w:r>
      <w:r>
        <w:t xml:space="preserve">Structuring and negotiation of commercial credit facilities, term loans, lines of credit, and trade finance instruments in coordination with Canadian chartered banks.</w:t>
      </w:r>
    </w:p>
    <w:p>
      <w:pPr>
        <w:numPr>
          <w:ilvl w:val="0"/>
          <w:numId w:val="1001"/>
        </w:numPr>
        <w:pStyle w:val="Compact"/>
      </w:pPr>
      <w:r>
        <w:rPr>
          <w:bCs/>
          <w:b/>
        </w:rPr>
        <w:t xml:space="preserve">Foreign Exchange &amp; Hedging:</w:t>
      </w:r>
      <w:r>
        <w:t xml:space="preserve"> </w:t>
      </w:r>
      <w:r>
        <w:t xml:space="preserve">Advisory on foreign exchange risk management, forward contracts, and currency hedging strategies relevant to the client's international trade activities through the Port of Montreal and Canadian export corridors.</w:t>
      </w:r>
    </w:p>
    <w:p>
      <w:pPr>
        <w:numPr>
          <w:ilvl w:val="0"/>
          <w:numId w:val="1001"/>
        </w:numPr>
        <w:pStyle w:val="Compact"/>
      </w:pPr>
      <w:r>
        <w:rPr>
          <w:bCs/>
          <w:b/>
        </w:rPr>
        <w:t xml:space="preserve">Regulatory Compliance &amp; Reporting:</w:t>
      </w:r>
      <w:r>
        <w:t xml:space="preserve"> </w:t>
      </w:r>
      <w:r>
        <w:t xml:space="preserve">Ensuring all banking transactions and financial instruments comply with the Bank Act (Canada), the Quebec Civil Code, and applicable anti-money laundering (AML) regulations enforced by FINTRAC.</w:t>
      </w:r>
    </w:p>
    <w:p>
      <w:pPr>
        <w:numPr>
          <w:ilvl w:val="0"/>
          <w:numId w:val="1001"/>
        </w:numPr>
        <w:pStyle w:val="Compact"/>
      </w:pPr>
      <w:r>
        <w:rPr>
          <w:bCs/>
          <w:b/>
        </w:rPr>
        <w:t xml:space="preserve">Strategic Financial Planning:</w:t>
      </w:r>
      <w:r>
        <w:t xml:space="preserve"> </w:t>
      </w:r>
      <w:r>
        <w:t xml:space="preserve">Annual and quarterly financial reviews, capital structure analysis, and long-term banking relationship strategy development specific to the Montreal and Quebec market environment.</w:t>
      </w:r>
    </w:p>
    <w:bookmarkEnd w:id="22"/>
    <w:bookmarkStart w:id="23" w:name="itemized-cost-breakdown"/>
    <w:p>
      <w:pPr>
        <w:pStyle w:val="Heading2"/>
      </w:pPr>
      <w:r>
        <w:t xml:space="preserve">4.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 / Frequency</w:t>
            </w:r>
          </w:p>
        </w:tc>
        <w:tc>
          <w:tcPr/>
          <w:p>
            <w:pPr>
              <w:pStyle w:val="Compact"/>
              <w:jc w:val="left"/>
            </w:pPr>
            <w:r>
              <w:t xml:space="preserve">Unit Rate (CAD)</w:t>
            </w:r>
          </w:p>
        </w:tc>
        <w:tc>
          <w:tcPr/>
          <w:p>
            <w:pPr>
              <w:pStyle w:val="Compact"/>
              <w:jc w:val="left"/>
            </w:pPr>
            <w:r>
              <w:t xml:space="preserve">Quantity</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Senior Banker – Corporate Advisory (on-site in Montreal, 3 days/week)</w:t>
            </w:r>
          </w:p>
        </w:tc>
        <w:tc>
          <w:tcPr/>
          <w:p>
            <w:pPr>
              <w:pStyle w:val="Compact"/>
              <w:jc w:val="left"/>
            </w:pPr>
            <w:r>
              <w:t xml:space="preserve">Monthly</w:t>
            </w:r>
          </w:p>
        </w:tc>
        <w:tc>
          <w:tcPr/>
          <w:p>
            <w:pPr>
              <w:pStyle w:val="Compact"/>
              <w:jc w:val="left"/>
            </w:pPr>
            <w:r>
              <w:t xml:space="preserve">$185.00 / hr</w:t>
            </w:r>
          </w:p>
        </w:tc>
        <w:tc>
          <w:tcPr/>
          <w:p>
            <w:pPr>
              <w:pStyle w:val="Compact"/>
              <w:jc w:val="left"/>
            </w:pPr>
            <w:r>
              <w:t xml:space="preserve">120 hrs</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Treasury &amp; Cash Management Implementation</w:t>
            </w:r>
          </w:p>
        </w:tc>
        <w:tc>
          <w:tcPr/>
          <w:p>
            <w:pPr>
              <w:pStyle w:val="Compact"/>
              <w:jc w:val="left"/>
            </w:pPr>
            <w:r>
              <w:t xml:space="preserve">One-time</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$8,500.00</w:t>
            </w:r>
          </w:p>
        </w:tc>
      </w:tr>
      <w:tr>
        <w:tc>
          <w:tcPr/>
          <w:p>
            <w:pPr>
              <w:pStyle w:val="Compact"/>
              <w:jc w:val="left"/>
            </w:pPr>
            <w:r>
              <w:t xml:space="preserve">3</w:t>
            </w:r>
          </w:p>
        </w:tc>
        <w:tc>
          <w:tcPr/>
          <w:p>
            <w:pPr>
              <w:pStyle w:val="Compact"/>
              <w:jc w:val="left"/>
            </w:pPr>
            <w:r>
              <w:t xml:space="preserve">Credit Facility Structuring &amp; Bank Negotiation</w:t>
            </w:r>
          </w:p>
        </w:tc>
        <w:tc>
          <w:tcPr/>
          <w:p>
            <w:pPr>
              <w:pStyle w:val="Compact"/>
              <w:jc w:val="left"/>
            </w:pPr>
            <w:r>
              <w:t xml:space="preserve">One-time</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Foreign Exchange Advisory &amp; Hedging Strategy (quarterly)</w:t>
            </w:r>
          </w:p>
        </w:tc>
        <w:tc>
          <w:tcPr/>
          <w:p>
            <w:pPr>
              <w:pStyle w:val="Compact"/>
              <w:jc w:val="left"/>
            </w:pPr>
            <w:r>
              <w:t xml:space="preserve">Quarterly</w:t>
            </w:r>
          </w:p>
        </w:tc>
        <w:tc>
          <w:tcPr/>
          <w:p>
            <w:pPr>
              <w:pStyle w:val="Compact"/>
              <w:jc w:val="left"/>
            </w:pPr>
            <w:r>
              <w:t xml:space="preserve">$3,200.00 / session</w:t>
            </w:r>
          </w:p>
        </w:tc>
        <w:tc>
          <w:tcPr/>
          <w:p>
            <w:pPr>
              <w:pStyle w:val="Compact"/>
              <w:jc w:val="left"/>
            </w:pPr>
            <w:r>
              <w:t xml:space="preserve">4</w:t>
            </w:r>
          </w:p>
        </w:tc>
        <w:tc>
          <w:tcPr/>
          <w:p>
            <w:pPr>
              <w:pStyle w:val="Compact"/>
              <w:jc w:val="left"/>
            </w:pPr>
            <w:r>
              <w:t xml:space="preserve">$12,800.00</w:t>
            </w:r>
          </w:p>
        </w:tc>
      </w:tr>
      <w:tr>
        <w:tc>
          <w:tcPr/>
          <w:p>
            <w:pPr>
              <w:pStyle w:val="Compact"/>
              <w:jc w:val="left"/>
            </w:pPr>
            <w:r>
              <w:t xml:space="preserve">5</w:t>
            </w:r>
          </w:p>
        </w:tc>
        <w:tc>
          <w:tcPr/>
          <w:p>
            <w:pPr>
              <w:pStyle w:val="Compact"/>
              <w:jc w:val="left"/>
            </w:pPr>
            <w:r>
              <w:t xml:space="preserve">Regulatory Compliance Review &amp; AML Reporting (annual)</w:t>
            </w:r>
          </w:p>
        </w:tc>
        <w:tc>
          <w:tcPr/>
          <w:p>
            <w:pPr>
              <w:pStyle w:val="Compact"/>
              <w:jc w:val="left"/>
            </w:pPr>
            <w:r>
              <w:t xml:space="preserve">Annual</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$6,750.00</w:t>
            </w:r>
          </w:p>
        </w:tc>
      </w:tr>
      <w:tr>
        <w:tc>
          <w:tcPr/>
          <w:p>
            <w:pPr>
              <w:pStyle w:val="Compact"/>
              <w:jc w:val="left"/>
            </w:pPr>
            <w:r>
              <w:t xml:space="preserve">6</w:t>
            </w:r>
          </w:p>
        </w:tc>
        <w:tc>
          <w:tcPr/>
          <w:p>
            <w:pPr>
              <w:pStyle w:val="Compact"/>
              <w:jc w:val="left"/>
            </w:pPr>
            <w:r>
              <w:t xml:space="preserve">Strategic Financial Planning &amp; Capital Structure Review</w:t>
            </w:r>
          </w:p>
        </w:tc>
        <w:tc>
          <w:tcPr/>
          <w:p>
            <w:pPr>
              <w:pStyle w:val="Compact"/>
              <w:jc w:val="left"/>
            </w:pPr>
            <w:r>
              <w:t xml:space="preserve">Bi-annual</w:t>
            </w:r>
          </w:p>
        </w:tc>
        <w:tc>
          <w:tcPr/>
          <w:p>
            <w:pPr>
              <w:pStyle w:val="Compact"/>
              <w:jc w:val="left"/>
            </w:pPr>
            <w:r>
              <w:t xml:space="preserve">$4,500.00 / review</w:t>
            </w:r>
          </w:p>
        </w:tc>
        <w:tc>
          <w:tcPr/>
          <w:p>
            <w:pPr>
              <w:pStyle w:val="Compact"/>
              <w:jc w:val="left"/>
            </w:pPr>
            <w:r>
              <w:t xml:space="preserve">2</w:t>
            </w:r>
          </w:p>
        </w:tc>
        <w:tc>
          <w:tcPr/>
          <w:p>
            <w:pPr>
              <w:pStyle w:val="Compact"/>
              <w:jc w:val="left"/>
            </w:pPr>
            <w:r>
              <w:t xml:space="preserve">$9,000.00</w:t>
            </w:r>
          </w:p>
        </w:tc>
      </w:tr>
      <w:tr>
        <w:tc>
          <w:tcPr/>
          <w:p>
            <w:pPr>
              <w:pStyle w:val="Compact"/>
              <w:jc w:val="left"/>
            </w:pPr>
            <w:r>
              <w:t xml:space="preserve">7</w:t>
            </w:r>
          </w:p>
        </w:tc>
        <w:tc>
          <w:tcPr/>
          <w:p>
            <w:pPr>
              <w:pStyle w:val="Compact"/>
              <w:jc w:val="left"/>
            </w:pPr>
            <w:r>
              <w:t xml:space="preserve">Travel &amp; Local Transportation within Montreal Metro Area</w:t>
            </w:r>
          </w:p>
        </w:tc>
        <w:tc>
          <w:tcPr/>
          <w:p>
            <w:pPr>
              <w:pStyle w:val="Compact"/>
              <w:jc w:val="left"/>
            </w:pPr>
            <w:r>
              <w:t xml:space="preserve">Monthly</w:t>
            </w:r>
          </w:p>
        </w:tc>
        <w:tc>
          <w:tcPr/>
          <w:p>
            <w:pPr>
              <w:pStyle w:val="Compact"/>
              <w:jc w:val="left"/>
            </w:pPr>
            <w:r>
              <w:t xml:space="preserve">Reimbursable</w:t>
            </w:r>
          </w:p>
        </w:tc>
        <w:tc>
          <w:tcPr/>
          <w:p>
            <w:pPr>
              <w:pStyle w:val="Compact"/>
              <w:jc w:val="left"/>
            </w:pPr>
            <w:r>
              <w:t xml:space="preserve">12</w:t>
            </w:r>
          </w:p>
        </w:tc>
        <w:tc>
          <w:tcPr/>
          <w:p>
            <w:pPr>
              <w:pStyle w:val="Compact"/>
              <w:jc w:val="left"/>
            </w:pPr>
            <w:r>
              <w:t xml:space="preserve">$1,440.00</w:t>
            </w:r>
          </w:p>
        </w:tc>
      </w:tr>
      <w:tr>
        <w:tc>
          <w:tcPr/>
          <w:p>
            <w:pPr>
              <w:pStyle w:val="Compact"/>
              <w:jc w:val="left"/>
            </w:pPr>
            <w:r>
              <w:t xml:space="preserve">8</w:t>
            </w:r>
          </w:p>
        </w:tc>
        <w:tc>
          <w:tcPr/>
          <w:p>
            <w:pPr>
              <w:pStyle w:val="Compact"/>
              <w:jc w:val="left"/>
            </w:pPr>
            <w:r>
              <w:t xml:space="preserve">Administrative Support &amp; Document Preparation</w:t>
            </w:r>
          </w:p>
        </w:tc>
        <w:tc>
          <w:tcPr/>
          <w:p>
            <w:pPr>
              <w:pStyle w:val="Compact"/>
              <w:jc w:val="left"/>
            </w:pPr>
            <w:r>
              <w:t xml:space="preserve">Monthly</w:t>
            </w:r>
          </w:p>
        </w:tc>
        <w:tc>
          <w:tcPr/>
          <w:p>
            <w:pPr>
              <w:pStyle w:val="Compact"/>
              <w:jc w:val="left"/>
            </w:pPr>
            <w:r>
              <w:t xml:space="preserve">$95.00 / hr</w:t>
            </w:r>
          </w:p>
        </w:tc>
        <w:tc>
          <w:tcPr/>
          <w:p>
            <w:pPr>
              <w:pStyle w:val="Compact"/>
              <w:jc w:val="left"/>
            </w:pPr>
            <w:r>
              <w:t xml:space="preserve">40 hrs</w:t>
            </w:r>
          </w:p>
        </w:tc>
        <w:tc>
          <w:tcPr/>
          <w:p>
            <w:pPr>
              <w:pStyle w:val="Compact"/>
              <w:jc w:val="left"/>
            </w:pPr>
            <w:r>
              <w:t xml:space="preserve">$3,800.00</w:t>
            </w:r>
          </w:p>
        </w:tc>
      </w:tr>
      <w:tr>
        <w:tc>
          <w:tcPr>
            <w:gridSpan w:val="5"/>
          </w:tcPr>
          <w:p>
            <w:pPr>
              <w:pStyle w:val="Compact"/>
              <w:jc w:val="right"/>
            </w:pPr>
            <w:r>
              <w:t xml:space="preserve">Subtotal (CAD)</w:t>
            </w:r>
          </w:p>
        </w:tc>
        <w:tc>
          <w:tcPr/>
          <w:p>
            <w:pPr>
              <w:pStyle w:val="Compact"/>
              <w:jc w:val="left"/>
            </w:pPr>
            <w:r>
              <w:t xml:space="preserve">$76,490.00</w:t>
            </w:r>
          </w:p>
        </w:tc>
      </w:tr>
      <w:tr>
        <w:tc>
          <w:tcPr>
            <w:gridSpan w:val="5"/>
          </w:tcPr>
          <w:p>
            <w:pPr>
              <w:pStyle w:val="Compact"/>
              <w:jc w:val="right"/>
            </w:pPr>
            <w:r>
              <w:t xml:space="preserve">GST (5%) – Canada Federal</w:t>
            </w:r>
          </w:p>
        </w:tc>
        <w:tc>
          <w:tcPr/>
          <w:p>
            <w:pPr>
              <w:pStyle w:val="Compact"/>
              <w:jc w:val="left"/>
            </w:pPr>
            <w:r>
              <w:t xml:space="preserve">$3,824.50</w:t>
            </w:r>
          </w:p>
        </w:tc>
      </w:tr>
      <w:tr>
        <w:tc>
          <w:tcPr>
            <w:gridSpan w:val="5"/>
          </w:tcPr>
          <w:p>
            <w:pPr>
              <w:pStyle w:val="Compact"/>
              <w:jc w:val="right"/>
            </w:pPr>
            <w:r>
              <w:t xml:space="preserve">QST (9.975%) – Quebec Provincial</w:t>
            </w:r>
          </w:p>
        </w:tc>
        <w:tc>
          <w:tcPr/>
          <w:p>
            <w:pPr>
              <w:pStyle w:val="Compact"/>
              <w:jc w:val="left"/>
            </w:pPr>
            <w:r>
              <w:t xml:space="preserve">$7,631.88</w:t>
            </w:r>
          </w:p>
        </w:tc>
      </w:tr>
      <w:tr>
        <w:tc>
          <w:tcPr>
            <w:gridSpan w:val="5"/>
          </w:tcPr>
          <w:p>
            <w:pPr>
              <w:pStyle w:val="Compact"/>
              <w:jc w:val="right"/>
            </w:pPr>
            <w:r>
              <w:t xml:space="preserve">TOTAL ESTIMATED COST (CAD)</w:t>
            </w:r>
          </w:p>
        </w:tc>
        <w:tc>
          <w:tcPr/>
          <w:p>
            <w:pPr>
              <w:pStyle w:val="Compact"/>
              <w:jc w:val="left"/>
            </w:pPr>
            <w:r>
              <w:t xml:space="preserve">$87,946.38</w:t>
            </w:r>
          </w:p>
        </w:tc>
      </w:tr>
    </w:tbl>
    <w:bookmarkEnd w:id="23"/>
    <w:bookmarkStart w:id="24" w:name="terms-and-conditions"/>
    <w:p>
      <w:pPr>
        <w:pStyle w:val="Heading2"/>
      </w:pPr>
      <w:r>
        <w:t xml:space="preserve">5. Terms and Conditions</w:t>
      </w:r>
    </w:p>
    <w:p>
      <w:pPr>
        <w:numPr>
          <w:ilvl w:val="0"/>
          <w:numId w:val="1002"/>
        </w:numPr>
        <w:pStyle w:val="Compact"/>
      </w:pPr>
      <w:r>
        <w:t xml:space="preserve">This Quotation Estimate is valid for thirty (30) calendar days from the date of issue. After the expiry date, all rates and fees are subject to revision based on prevailing Canadian market conditions and the Banker's availability.</w:t>
      </w:r>
    </w:p>
    <w:p>
      <w:pPr>
        <w:numPr>
          <w:ilvl w:val="0"/>
          <w:numId w:val="1002"/>
        </w:numPr>
        <w:pStyle w:val="Compact"/>
      </w:pPr>
      <w:r>
        <w:t xml:space="preserve">All fees are quoted in Canadian Dollars (CAD) and are exclusive of applicable federal Goods and Services Tax (GST) and Quebec Sales Tax (QST), which are itemized separately above.</w:t>
      </w:r>
    </w:p>
    <w:p>
      <w:pPr>
        <w:numPr>
          <w:ilvl w:val="0"/>
          <w:numId w:val="1002"/>
        </w:numPr>
        <w:pStyle w:val="Compact"/>
      </w:pPr>
      <w:r>
        <w:t xml:space="preserve">The Banker engaged under this Quotation Estimate shall operate in full compliance with the Bank Act (Canada), the Quebec Civil Code, the Securities Act of Quebec, and all directives issued by the Autorité des marchés financiers (AMF) and the Office of the Superintendent of Financial Institutions (OSFI).</w:t>
      </w:r>
    </w:p>
    <w:p>
      <w:pPr>
        <w:numPr>
          <w:ilvl w:val="0"/>
          <w:numId w:val="1002"/>
        </w:numPr>
        <w:pStyle w:val="Compact"/>
      </w:pPr>
      <w:r>
        <w:t xml:space="preserve">Payment terms: 50% of the total Quotation Estimate amount is due upon execution of the service agreement; the remaining 50% shall be invoiced monthly in arrears, payable within thirty (30) days of invoice date via electronic funds transfer (EFT) to a Canadian chartered bank account.</w:t>
      </w:r>
    </w:p>
    <w:p>
      <w:pPr>
        <w:numPr>
          <w:ilvl w:val="0"/>
          <w:numId w:val="1002"/>
        </w:numPr>
        <w:pStyle w:val="Compact"/>
      </w:pPr>
      <w:r>
        <w:t xml:space="preserve">Any services exceeding the scope defined in Section 3 of this Quotation Estimate will be subject to a separate written amendment and additional fees at the Banker's standard hourly rate of $185.00 CAD per hour.</w:t>
      </w:r>
    </w:p>
    <w:p>
      <w:pPr>
        <w:numPr>
          <w:ilvl w:val="0"/>
          <w:numId w:val="1002"/>
        </w:numPr>
        <w:pStyle w:val="Compact"/>
      </w:pPr>
      <w:r>
        <w:t xml:space="preserve">Confidentiality: All financial data, banking records, and proprietary information shared during the engagement shall be treated as strictly confidential in accordance with the Privacy Act (Canada) and the Quebec Act Respecting the Protection of Personal Information in the Private Sector (Law 25).</w:t>
      </w:r>
    </w:p>
    <w:p>
      <w:pPr>
        <w:numPr>
          <w:ilvl w:val="0"/>
          <w:numId w:val="1002"/>
        </w:numPr>
        <w:pStyle w:val="Compact"/>
      </w:pPr>
      <w:r>
        <w:t xml:space="preserve">This Quotation Estimate does not guarantee specific financial outcomes, credit approvals, or lending decisions by third-party Canadian financial institutions. The Banker's role is advisory and facilitative in nature.</w:t>
      </w:r>
    </w:p>
    <w:p>
      <w:pPr>
        <w:numPr>
          <w:ilvl w:val="0"/>
          <w:numId w:val="1002"/>
        </w:numPr>
        <w:pStyle w:val="Compact"/>
      </w:pPr>
      <w:r>
        <w:t xml:space="preserve">Governing Law: This Quotation Estimate and any resulting service agreement shall be governed by and construed in accordance with the laws of the Province of Quebec and the federal laws of Canada applicable therein.</w:t>
      </w:r>
    </w:p>
    <w:bookmarkEnd w:id="24"/>
    <w:bookmarkStart w:id="25" w:name="acceptance-and-authorization"/>
    <w:p>
      <w:pPr>
        <w:pStyle w:val="Heading2"/>
      </w:pPr>
      <w:r>
        <w:t xml:space="preserve">6. Acceptance and Authorization</w:t>
      </w:r>
    </w:p>
    <w:p>
      <w:pPr>
        <w:pStyle w:val="FirstParagraph"/>
      </w:pPr>
      <w:r>
        <w:t xml:space="preserve">By signing below, the client acknowledges receipt of this Quotation Estimate for Banker services in Montreal, Canada, and authorizes Meridian Financial Advisory Group Inc. to proceed with the engagement of the specified Banker and associated services as described herein. This signature converts this Quotation Estimate into a binding service agreement effective on the date of the last signature.</w:t>
      </w:r>
    </w:p>
    <w:p>
      <w:pPr>
        <w:pStyle w:val="BodyText"/>
      </w:pPr>
      <w:r>
        <w:rPr>
          <w:bCs/>
          <w:b/>
        </w:rPr>
        <w:t xml:space="preserve">For Meridian Financial Advisory Group Inc.:</w:t>
      </w:r>
    </w:p>
    <w:p>
      <w:pPr>
        <w:pStyle w:val="BodyText"/>
      </w:pPr>
      <w:r>
        <w:t xml:space="preserve">R. Deschamps – Senior Banker / Authorized Signatory</w:t>
      </w:r>
    </w:p>
    <w:p>
      <w:pPr>
        <w:pStyle w:val="BodyText"/>
      </w:pPr>
      <w:r>
        <w:t xml:space="preserve">Date: ____________________</w:t>
      </w:r>
    </w:p>
    <w:p>
      <w:pPr>
        <w:pStyle w:val="BodyText"/>
      </w:pPr>
      <w:r>
        <w:rPr>
          <w:bCs/>
          <w:b/>
        </w:rPr>
        <w:t xml:space="preserve">For the Client:</w:t>
      </w:r>
    </w:p>
    <w:p>
      <w:pPr>
        <w:pStyle w:val="BodyText"/>
      </w:pPr>
      <w:r>
        <w:t xml:space="preserve">Authorized Representative – [Client Name]</w:t>
      </w:r>
    </w:p>
    <w:p>
      <w:pPr>
        <w:pStyle w:val="BodyText"/>
      </w:pPr>
      <w:r>
        <w:t xml:space="preserve">Date: ____________________</w:t>
      </w:r>
    </w:p>
    <w:p>
      <w:pPr>
        <w:pStyle w:val="BodyText"/>
      </w:pPr>
      <w:r>
        <w:t xml:space="preserve">Quotation Estimate No. QTE-2025-MTL-04782 | Meridian Financial Advisory Group Inc. | Montreal, Quebec, Canada</w:t>
      </w:r>
      <w:r>
        <w:br/>
      </w:r>
      <w:r>
        <w:t xml:space="preserve">This document is a Quotation Estimate for Banker services and is not a guarantee of financial performance. All banking activities are subject to regulatory approval by Canadian and Quebec authorities.</w:t>
      </w:r>
      <w:r>
        <w:br/>
      </w:r>
      <w:r>
        <w:t xml:space="preserve">© 2025 Meridian Financial Advisory Group Inc.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Canada Montreal</dc:title>
  <dc:creator/>
  <dc:language>en</dc:language>
  <cp:keywords/>
  <dcterms:created xsi:type="dcterms:W3CDTF">2026-10-10T09:11:08Z</dcterms:created>
  <dcterms:modified xsi:type="dcterms:W3CDTF">2026-10-10T09:11:08Z</dcterms:modified>
</cp:coreProperties>
</file>

<file path=docProps/custom.xml><?xml version="1.0" encoding="utf-8"?>
<Properties xmlns="http://schemas.openxmlformats.org/officeDocument/2006/custom-properties" xmlns:vt="http://schemas.openxmlformats.org/officeDocument/2006/docPropsVTypes"/>
</file>