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Banker Services — Canada Toronto</w:t>
      </w:r>
    </w:p>
    <w:p>
      <w:pPr>
        <w:pStyle w:val="BodyText"/>
      </w:pPr>
      <w:r>
        <w:t xml:space="preserve">Document Reference: QE-2025-TOR-0847</w:t>
      </w:r>
    </w:p>
    <w:bookmarkEnd w:id="20"/>
    <w:bookmarkStart w:id="21" w:name="provider"/>
    <w:p>
      <w:pPr>
        <w:pStyle w:val="Heading3"/>
      </w:pPr>
      <w:r>
        <w:t xml:space="preserve">Provider</w:t>
      </w:r>
    </w:p>
    <w:p>
      <w:pPr>
        <w:pStyle w:val="FirstParagraph"/>
      </w:pPr>
      <w:r>
        <w:rPr>
          <w:bCs/>
          <w:b/>
        </w:rPr>
        <w:t xml:space="preserve">Toronto Financial Advisory Group Inc.</w:t>
      </w:r>
    </w:p>
    <w:p>
      <w:pPr>
        <w:pStyle w:val="BodyText"/>
      </w:pPr>
      <w:r>
        <w:t xml:space="preserve">200 Bay Street, Suite 1450</w:t>
      </w:r>
    </w:p>
    <w:p>
      <w:pPr>
        <w:pStyle w:val="BodyText"/>
      </w:pPr>
      <w:r>
        <w:t xml:space="preserve">Toronto, Ontario M5J 2J2, Canada</w:t>
      </w:r>
    </w:p>
    <w:p>
      <w:pPr>
        <w:pStyle w:val="BodyText"/>
      </w:pPr>
      <w:r>
        <w:t xml:space="preserve">Phone: +1 (416) 555-0192</w:t>
      </w:r>
    </w:p>
    <w:p>
      <w:pPr>
        <w:pStyle w:val="BodyText"/>
      </w:pPr>
      <w:r>
        <w:t xml:space="preserve">Email: quotations@tfga.ca</w:t>
      </w:r>
    </w:p>
    <w:p>
      <w:pPr>
        <w:pStyle w:val="BodyText"/>
      </w:pPr>
      <w:r>
        <w:t xml:space="preserve">BN: 847291635 RT0001</w:t>
      </w:r>
    </w:p>
    <w:bookmarkEnd w:id="21"/>
    <w:bookmarkStart w:id="22" w:name="client"/>
    <w:p>
      <w:pPr>
        <w:pStyle w:val="Heading3"/>
      </w:pPr>
      <w:r>
        <w:t xml:space="preserve">Client</w:t>
      </w:r>
    </w:p>
    <w:p>
      <w:pPr>
        <w:pStyle w:val="FirstParagraph"/>
      </w:pPr>
      <w:r>
        <w:rPr>
          <w:bCs/>
          <w:b/>
        </w:rPr>
        <w:t xml:space="preserve">Prepared For:</w:t>
      </w:r>
    </w:p>
    <w:p>
      <w:pPr>
        <w:pStyle w:val="BodyText"/>
      </w:pPr>
      <w:r>
        <w:t xml:space="preserve">[Client Name / Organization]</w:t>
      </w:r>
    </w:p>
    <w:p>
      <w:pPr>
        <w:pStyle w:val="BodyText"/>
      </w:pPr>
      <w:r>
        <w:t xml:space="preserve">[Street Address]</w:t>
      </w:r>
    </w:p>
    <w:p>
      <w:pPr>
        <w:pStyle w:val="BodyText"/>
      </w:pPr>
      <w:r>
        <w:t xml:space="preserve">Toronto, Ontario, Canada</w:t>
      </w:r>
    </w:p>
    <w:p>
      <w:pPr>
        <w:pStyle w:val="BodyText"/>
      </w:pPr>
      <w:r>
        <w:t xml:space="preserve">Phone: [Client Phone]</w:t>
      </w:r>
    </w:p>
    <w:p>
      <w:pPr>
        <w:pStyle w:val="BodyText"/>
      </w:pPr>
      <w:r>
        <w:t xml:space="preserve">Email: [Client Email]</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QE-2025-TOR-0847</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Canadian Dollars (CAD)</w:t>
            </w:r>
          </w:p>
        </w:tc>
      </w:tr>
      <w:tr>
        <w:tc>
          <w:tcPr/>
          <w:p>
            <w:pPr>
              <w:pStyle w:val="Compact"/>
              <w:jc w:val="left"/>
            </w:pPr>
            <w:r>
              <w:t xml:space="preserve">Service Location:</w:t>
            </w:r>
          </w:p>
        </w:tc>
        <w:tc>
          <w:tcPr/>
          <w:p>
            <w:pPr>
              <w:pStyle w:val="Compact"/>
              <w:jc w:val="left"/>
            </w:pPr>
            <w:r>
              <w:t xml:space="preserve">Toronto, Ontario, Canada</w:t>
            </w:r>
          </w:p>
        </w:tc>
        <w:tc>
          <w:tcPr/>
          <w:p>
            <w:pPr>
              <w:pStyle w:val="Compact"/>
              <w:jc w:val="left"/>
            </w:pPr>
            <w:r>
              <w:t xml:space="preserve">Engagement Type:</w:t>
            </w:r>
          </w:p>
        </w:tc>
        <w:tc>
          <w:tcPr/>
          <w:p>
            <w:pPr>
              <w:pStyle w:val="Compact"/>
              <w:jc w:val="left"/>
            </w:pPr>
            <w:r>
              <w:t xml:space="preserve">Retainer / Project-Based</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Toronto Financial Advisory Group Inc. to provide a comprehensive, itemized cost breakdown for the engagement of a qualified</w:t>
      </w:r>
      <w:r>
        <w:t xml:space="preserve"> </w:t>
      </w:r>
      <w:r>
        <w:t xml:space="preserve">Banker</w:t>
      </w:r>
      <w:r>
        <w:t xml:space="preserve"> </w:t>
      </w:r>
      <w:r>
        <w:t xml:space="preserve">professional to deliver advisory, transactional, and relationship management services within the</w:t>
      </w:r>
      <w:r>
        <w:t xml:space="preserve"> </w:t>
      </w:r>
      <w:r>
        <w:t xml:space="preserve">Canada Toronto</w:t>
      </w:r>
      <w:r>
        <w:t xml:space="preserve"> </w:t>
      </w:r>
      <w:r>
        <w:t xml:space="preserve">metropolitan area. This document serves as a formal proposal outlining the scope of work, professional fees, applicable taxes, and contractual terms governing the engagement. All pricing presented herein is specific to the</w:t>
      </w:r>
      <w:r>
        <w:t xml:space="preserve"> </w:t>
      </w:r>
      <w:r>
        <w:t xml:space="preserve">Canada Toronto</w:t>
      </w:r>
      <w:r>
        <w:t xml:space="preserve"> </w:t>
      </w:r>
      <w:r>
        <w:t xml:space="preserve">market and reflects current regulatory requirements set forth by the Financial Services Regulatory Authority of Ontario (FSRA) and the Bank of Canada.</w:t>
      </w:r>
    </w:p>
    <w:bookmarkEnd w:id="23"/>
    <w:bookmarkStart w:id="24" w:name="scope-of-banker-services"/>
    <w:p>
      <w:pPr>
        <w:pStyle w:val="Heading2"/>
      </w:pPr>
      <w:r>
        <w:t xml:space="preserve">2. Scope of Banker Services</w:t>
      </w:r>
    </w:p>
    <w:p>
      <w:pPr>
        <w:pStyle w:val="FirstParagraph"/>
      </w:pPr>
      <w:r>
        <w:t xml:space="preserve">The</w:t>
      </w:r>
      <w:r>
        <w:t xml:space="preserve"> </w:t>
      </w:r>
      <w:r>
        <w:t xml:space="preserve">Banker</w:t>
      </w:r>
      <w:r>
        <w:t xml:space="preserve"> </w:t>
      </w:r>
      <w:r>
        <w:t xml:space="preserve">engaged under this</w:t>
      </w:r>
      <w:r>
        <w:t xml:space="preserve"> </w:t>
      </w:r>
      <w:r>
        <w:t xml:space="preserve">Quotation Estimate</w:t>
      </w:r>
      <w:r>
        <w:t xml:space="preserve"> </w:t>
      </w:r>
      <w:r>
        <w:t xml:space="preserve">shall provide the following professional services tailored to the client's financial operations in</w:t>
      </w:r>
      <w:r>
        <w:t xml:space="preserve"> </w:t>
      </w:r>
      <w:r>
        <w:t xml:space="preserve">Canada Toronto</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w:t>
            </w:r>
          </w:p>
        </w:tc>
        <w:tc>
          <w:tcPr/>
          <w:p>
            <w:pPr>
              <w:pStyle w:val="Compact"/>
              <w:jc w:val="left"/>
            </w:pPr>
            <w:r>
              <w:t xml:space="preserve">Estimated Cost (CAD)</w:t>
            </w:r>
          </w:p>
        </w:tc>
      </w:tr>
      <w:tr>
        <w:tc>
          <w:tcPr/>
          <w:p>
            <w:pPr>
              <w:pStyle w:val="Compact"/>
              <w:jc w:val="left"/>
            </w:pPr>
            <w:r>
              <w:t xml:space="preserve">1</w:t>
            </w:r>
          </w:p>
        </w:tc>
        <w:tc>
          <w:tcPr/>
          <w:p>
            <w:pPr>
              <w:pStyle w:val="Compact"/>
              <w:jc w:val="left"/>
            </w:pPr>
            <w:r>
              <w:t xml:space="preserve">Senior Banker Advisory Consultation — Strategic financial planning, liquidity management, and capital structure optimization for the client's Toronto-based operations</w:t>
            </w:r>
          </w:p>
        </w:tc>
        <w:tc>
          <w:tcPr/>
          <w:p>
            <w:pPr>
              <w:pStyle w:val="Compact"/>
              <w:jc w:val="left"/>
            </w:pPr>
            <w:r>
              <w:t xml:space="preserve">Monthly (12 months)</w:t>
            </w:r>
          </w:p>
        </w:tc>
        <w:tc>
          <w:tcPr/>
          <w:p>
            <w:pPr>
              <w:pStyle w:val="Compact"/>
              <w:jc w:val="left"/>
            </w:pPr>
            <w:r>
              <w:t xml:space="preserve">Per month</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Commercial Banking Relationship Management — Liaison with major Canadian financial institutions (RBC, TD, Scotiabank, BMO, CIBC) for credit facilities, trade finance, and treasury services in Canada Toronto</w:t>
            </w:r>
          </w:p>
        </w:tc>
        <w:tc>
          <w:tcPr/>
          <w:p>
            <w:pPr>
              <w:pStyle w:val="Compact"/>
              <w:jc w:val="left"/>
            </w:pPr>
            <w:r>
              <w:t xml:space="preserve">Ongoing (12 months)</w:t>
            </w:r>
          </w:p>
        </w:tc>
        <w:tc>
          <w:tcPr/>
          <w:p>
            <w:pPr>
              <w:pStyle w:val="Compact"/>
              <w:jc w:val="left"/>
            </w:pPr>
            <w:r>
              <w:t xml:space="preserve">Per month</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Transaction Execution &amp; Settlement Oversight — Management of domestic and cross-border wire transfers, letter of credit issuance, and FX hedging strategies compliant with Bank of Canada regulations</w:t>
            </w:r>
          </w:p>
        </w:tc>
        <w:tc>
          <w:tcPr/>
          <w:p>
            <w:pPr>
              <w:pStyle w:val="Compact"/>
              <w:jc w:val="left"/>
            </w:pPr>
            <w:r>
              <w:t xml:space="preserve">Per transaction (est. 24)</w:t>
            </w:r>
          </w:p>
        </w:tc>
        <w:tc>
          <w:tcPr/>
          <w:p>
            <w:pPr>
              <w:pStyle w:val="Compact"/>
              <w:jc w:val="left"/>
            </w:pPr>
            <w:r>
              <w:t xml:space="preserve">Per transaction</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Regulatory Compliance &amp; Reporting — Preparation of AML/KYC documentation, FINTRAC reporting, and Ontario provincial banking compliance filings for the Canada Toronto jurisdiction</w:t>
            </w:r>
          </w:p>
        </w:tc>
        <w:tc>
          <w:tcPr/>
          <w:p>
            <w:pPr>
              <w:pStyle w:val="Compact"/>
              <w:jc w:val="left"/>
            </w:pPr>
            <w:r>
              <w:t xml:space="preserve">Quarterly (4 quarters)</w:t>
            </w:r>
          </w:p>
        </w:tc>
        <w:tc>
          <w:tcPr/>
          <w:p>
            <w:pPr>
              <w:pStyle w:val="Compact"/>
              <w:jc w:val="left"/>
            </w:pPr>
            <w:r>
              <w:t xml:space="preserve">Per quarter</w:t>
            </w:r>
          </w:p>
        </w:tc>
        <w:tc>
          <w:tcPr/>
          <w:p>
            <w:pPr>
              <w:pStyle w:val="Compact"/>
              <w:jc w:val="left"/>
            </w:pPr>
            <w:r>
              <w:t xml:space="preserve">$2,750.00</w:t>
            </w:r>
          </w:p>
        </w:tc>
      </w:tr>
      <w:tr>
        <w:tc>
          <w:tcPr/>
          <w:p>
            <w:pPr>
              <w:pStyle w:val="Compact"/>
              <w:jc w:val="left"/>
            </w:pPr>
            <w:r>
              <w:t xml:space="preserve">5</w:t>
            </w:r>
          </w:p>
        </w:tc>
        <w:tc>
          <w:tcPr/>
          <w:p>
            <w:pPr>
              <w:pStyle w:val="Compact"/>
              <w:jc w:val="left"/>
            </w:pPr>
            <w:r>
              <w:t xml:space="preserve">On-Site Banker Presence — Dedicated Banker available at client's Toronto office for up to 16 hours per month for in-person negotiations, board presentations, and stakeholder meetings</w:t>
            </w:r>
          </w:p>
        </w:tc>
        <w:tc>
          <w:tcPr/>
          <w:p>
            <w:pPr>
              <w:pStyle w:val="Compact"/>
              <w:jc w:val="left"/>
            </w:pPr>
            <w:r>
              <w:t xml:space="preserve">Monthly (12 months)</w:t>
            </w:r>
          </w:p>
        </w:tc>
        <w:tc>
          <w:tcPr/>
          <w:p>
            <w:pPr>
              <w:pStyle w:val="Compact"/>
              <w:jc w:val="left"/>
            </w:pPr>
            <w:r>
              <w:t xml:space="preserve">Per month</w:t>
            </w:r>
          </w:p>
        </w:tc>
        <w:tc>
          <w:tcPr/>
          <w:p>
            <w:pPr>
              <w:pStyle w:val="Compact"/>
              <w:jc w:val="left"/>
            </w:pPr>
            <w:r>
              <w:t xml:space="preserve">$5,600.00</w:t>
            </w:r>
          </w:p>
        </w:tc>
      </w:tr>
      <w:tr>
        <w:tc>
          <w:tcPr/>
          <w:p>
            <w:pPr>
              <w:pStyle w:val="Compact"/>
              <w:jc w:val="left"/>
            </w:pPr>
            <w:r>
              <w:t xml:space="preserve">6</w:t>
            </w:r>
          </w:p>
        </w:tc>
        <w:tc>
          <w:tcPr/>
          <w:p>
            <w:pPr>
              <w:pStyle w:val="Compact"/>
              <w:jc w:val="left"/>
            </w:pPr>
            <w:r>
              <w:t xml:space="preserve">Emergency Banking Support — After-hours access to the Banker for urgent liquidity events, credit line activations, or crisis financial management within the Canada Toronto financial district</w:t>
            </w:r>
          </w:p>
        </w:tc>
        <w:tc>
          <w:tcPr/>
          <w:p>
            <w:pPr>
              <w:pStyle w:val="Compact"/>
              <w:jc w:val="left"/>
            </w:pPr>
            <w:r>
              <w:t xml:space="preserve">Annual retainer</w:t>
            </w:r>
          </w:p>
        </w:tc>
        <w:tc>
          <w:tcPr/>
          <w:p>
            <w:pPr>
              <w:pStyle w:val="Compact"/>
              <w:jc w:val="left"/>
            </w:pPr>
            <w:r>
              <w:t xml:space="preserve">Per year</w:t>
            </w:r>
          </w:p>
        </w:tc>
        <w:tc>
          <w:tcPr/>
          <w:p>
            <w:pPr>
              <w:pStyle w:val="Compact"/>
              <w:jc w:val="left"/>
            </w:pPr>
            <w:r>
              <w:t xml:space="preserve">$3,000.00</w:t>
            </w:r>
          </w:p>
        </w:tc>
      </w:tr>
      <w:tr>
        <w:tc>
          <w:tcPr>
            <w:gridSpan w:val="4"/>
          </w:tcPr>
          <w:p>
            <w:pPr>
              <w:pStyle w:val="Compact"/>
              <w:jc w:val="right"/>
            </w:pPr>
            <w:r>
              <w:t xml:space="preserve">Subtotal (Annual):</w:t>
            </w:r>
          </w:p>
        </w:tc>
        <w:tc>
          <w:tcPr/>
          <w:p>
            <w:pPr>
              <w:pStyle w:val="Compact"/>
              <w:jc w:val="left"/>
            </w:pPr>
            <w:r>
              <w:t xml:space="preserve">$138,350.00</w:t>
            </w:r>
          </w:p>
        </w:tc>
      </w:tr>
      <w:tr>
        <w:tc>
          <w:tcPr>
            <w:gridSpan w:val="4"/>
          </w:tcPr>
          <w:p>
            <w:pPr>
              <w:pStyle w:val="Compact"/>
              <w:jc w:val="right"/>
            </w:pPr>
            <w:r>
              <w:t xml:space="preserve">HST (13% — Ontario, Canada):</w:t>
            </w:r>
          </w:p>
        </w:tc>
        <w:tc>
          <w:tcPr/>
          <w:p>
            <w:pPr>
              <w:pStyle w:val="Compact"/>
              <w:jc w:val="left"/>
            </w:pPr>
            <w:r>
              <w:t xml:space="preserve">$17,985.50</w:t>
            </w:r>
          </w:p>
        </w:tc>
      </w:tr>
      <w:tr>
        <w:tc>
          <w:tcPr>
            <w:gridSpan w:val="4"/>
          </w:tcPr>
          <w:p>
            <w:pPr>
              <w:pStyle w:val="Compact"/>
              <w:jc w:val="right"/>
            </w:pPr>
            <w:r>
              <w:rPr>
                <w:bCs/>
                <w:b/>
              </w:rPr>
              <w:t xml:space="preserve">TOTAL ESTIMATED COST (CAD):</w:t>
            </w:r>
          </w:p>
        </w:tc>
        <w:tc>
          <w:tcPr/>
          <w:p>
            <w:pPr>
              <w:pStyle w:val="Compact"/>
              <w:jc w:val="left"/>
            </w:pPr>
            <w:r>
              <w:rPr>
                <w:bCs/>
                <w:b/>
              </w:rPr>
              <w:t xml:space="preserve">$156,335.50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all fees and rates are subject to revision based on prevailing Canada Toronto market conditions and Bank of Canada policy rate adjustments.</w:t>
      </w:r>
    </w:p>
    <w:p>
      <w:pPr>
        <w:numPr>
          <w:ilvl w:val="0"/>
          <w:numId w:val="1001"/>
        </w:numPr>
        <w:pStyle w:val="Compact"/>
      </w:pPr>
      <w:r>
        <w:rPr>
          <w:bCs/>
          <w:b/>
        </w:rPr>
        <w:t xml:space="preserve">Payment Schedule:</w:t>
      </w:r>
      <w:r>
        <w:t xml:space="preserve"> </w:t>
      </w:r>
      <w:r>
        <w:t xml:space="preserve">Invoices shall be issued monthly in arrears. Payment is due within thirty (30) days of invoice date via EFT, Interac e-Transfer, or certified cheque payable to Toronto Financial Advisory Group Inc. All payments are denominated in Canadian Dollars (CAD).</w:t>
      </w:r>
    </w:p>
    <w:p>
      <w:pPr>
        <w:numPr>
          <w:ilvl w:val="0"/>
          <w:numId w:val="1001"/>
        </w:numPr>
        <w:pStyle w:val="Compact"/>
      </w:pPr>
      <w:r>
        <w:rPr>
          <w:bCs/>
          <w:b/>
        </w:rPr>
        <w:t xml:space="preserve">Banker Qualifications:</w:t>
      </w:r>
      <w:r>
        <w:t xml:space="preserve"> </w:t>
      </w:r>
      <w:r>
        <w:t xml:space="preserve">The assigned Banker shall hold a minimum of ten (10) years of experience in Canadian commercial banking, be a member in good standing of the Canadian Bankers Association (CBA), and maintain all requisite FSRA and Ontario Securities Commission (OSC) registrations.</w:t>
      </w:r>
    </w:p>
    <w:p>
      <w:pPr>
        <w:numPr>
          <w:ilvl w:val="0"/>
          <w:numId w:val="1001"/>
        </w:numPr>
        <w:pStyle w:val="Compact"/>
      </w:pPr>
      <w:r>
        <w:rPr>
          <w:bCs/>
          <w:b/>
        </w:rPr>
        <w:t xml:space="preserve">Confidentiality:</w:t>
      </w:r>
      <w:r>
        <w:t xml:space="preserve"> </w:t>
      </w:r>
      <w:r>
        <w:t xml:space="preserve">All financial data, transaction records, and proprietary information exchanged during the engagement shall be treated as strictly confidential in accordance with the Personal Information Protection and Electronic Documents Act (PIPEDA) and Ontario's Freedom of Information and Protection of Privacy Act (FIPPA).</w:t>
      </w:r>
    </w:p>
    <w:p>
      <w:pPr>
        <w:numPr>
          <w:ilvl w:val="0"/>
          <w:numId w:val="1001"/>
        </w:numPr>
        <w:pStyle w:val="Compact"/>
      </w:pPr>
      <w:r>
        <w:rPr>
          <w:bCs/>
          <w:b/>
        </w:rPr>
        <w:t xml:space="preserve">Termination:</w:t>
      </w:r>
      <w:r>
        <w:t xml:space="preserve"> </w:t>
      </w:r>
      <w:r>
        <w:t xml:space="preserve">Either party may terminate this engagement with sixty (60) days written notice. Upon termination, the Banker shall complete all in-progress transactions and deliver a final compliance report specific to the Canada Toronto regulatory environment.</w:t>
      </w:r>
    </w:p>
    <w:p>
      <w:pPr>
        <w:numPr>
          <w:ilvl w:val="0"/>
          <w:numId w:val="1001"/>
        </w:numPr>
        <w:pStyle w:val="Compact"/>
      </w:pPr>
      <w:r>
        <w:rPr>
          <w:bCs/>
          <w:b/>
        </w:rPr>
        <w:t xml:space="preserve">Liability &amp; Insurance:</w:t>
      </w:r>
      <w:r>
        <w:t xml:space="preserve"> </w:t>
      </w:r>
      <w:r>
        <w:t xml:space="preserve">The Banker and Toronto Financial Advisory Group Inc. shall maintain professional liability insurance of no less than $5,000,000 CAD, with coverage valid throughout the Province of Ontario and the Canada Toronto metropolitan region.</w:t>
      </w:r>
    </w:p>
    <w:p>
      <w:pPr>
        <w:numPr>
          <w:ilvl w:val="0"/>
          <w:numId w:val="1001"/>
        </w:numPr>
        <w:pStyle w:val="Compact"/>
      </w:pPr>
      <w:r>
        <w:rPr>
          <w:bCs/>
          <w:b/>
        </w:rPr>
        <w:t xml:space="preserve">Governing Law:</w:t>
      </w:r>
      <w:r>
        <w:t xml:space="preserve"> </w:t>
      </w:r>
      <w:r>
        <w:t xml:space="preserve">This Quotation Estimate and any resulting agreement shall be governed by the laws of the Province of Ontario and the federal laws of Canada applicable therein. Any disputes shall be resolved through arbitration in Toronto, Ontario, in accordance with the Arbitration Act (Ontario).</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financial system failures, or government-imposed restrictions within Canada Toronto.</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outlined herein for the engagement of the</w:t>
      </w:r>
      <w:r>
        <w:t xml:space="preserve"> </w:t>
      </w:r>
      <w:r>
        <w:t xml:space="preserve">Banker</w:t>
      </w:r>
      <w:r>
        <w:t xml:space="preserve"> </w:t>
      </w:r>
      <w:r>
        <w:t xml:space="preserve">professional in</w:t>
      </w:r>
      <w:r>
        <w:t xml:space="preserve"> </w:t>
      </w:r>
      <w:r>
        <w:t xml:space="preserve">Canada Toronto</w:t>
      </w:r>
      <w:r>
        <w:t xml:space="preserve">. This signature constitutes a binding acceptance of the services and pricing described in this document.</w:t>
      </w:r>
    </w:p>
    <w:p>
      <w:pPr>
        <w:pStyle w:val="BodyText"/>
      </w:pPr>
      <w:r>
        <w:rPr>
          <w:bCs/>
          <w:b/>
        </w:rPr>
        <w:t xml:space="preserve">Client Representative</w:t>
      </w:r>
      <w:r>
        <w:br/>
      </w:r>
      <w:r>
        <w:t xml:space="preserve">Name / Title / Signature / Date</w:t>
      </w:r>
    </w:p>
    <w:p>
      <w:pPr>
        <w:pStyle w:val="BodyText"/>
      </w:pPr>
      <w:r>
        <w:rPr>
          <w:bCs/>
          <w:b/>
        </w:rPr>
        <w:t xml:space="preserve">Toronto Financial Advisory Group Inc.</w:t>
      </w:r>
      <w:r>
        <w:br/>
      </w:r>
      <w:r>
        <w:t xml:space="preserve">Authorized Signatory / Signature / Date</w:t>
      </w:r>
    </w:p>
    <w:p>
      <w:pPr>
        <w:pStyle w:val="BodyText"/>
      </w:pPr>
      <w:r>
        <w:t xml:space="preserve">Toronto Financial Advisory Group Inc. — 200 Bay Street, Suite 1450, Toronto, Ontario M5J 2J2, Canada</w:t>
      </w:r>
    </w:p>
    <w:p>
      <w:pPr>
        <w:pStyle w:val="BodyText"/>
      </w:pPr>
      <w:r>
        <w:t xml:space="preserve">This Quotation Estimate is a confidential document intended solely for the named recipient. Unauthorized reproduction or distribution is prohibited under Canadian intellectual property law.</w:t>
      </w:r>
    </w:p>
    <w:p>
      <w:pPr>
        <w:pStyle w:val="BodyText"/>
      </w:pPr>
      <w:r>
        <w:t xml:space="preserve">Page 1 of 1 — QE-2025-TOR-0847 — Issued June 12,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Canada Toronto</dc:title>
  <dc:creator/>
  <dc:language>en</dc:language>
  <cp:keywords/>
  <dcterms:created xsi:type="dcterms:W3CDTF">2026-10-10T08:33:44Z</dcterms:created>
  <dcterms:modified xsi:type="dcterms:W3CDTF">2026-10-10T08:33:44Z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