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Banker</w:t>
      </w:r>
      <w:r>
        <w:t xml:space="preserve"> </w:t>
      </w:r>
      <w:r>
        <w:t xml:space="preserve">Services</w:t>
      </w:r>
      <w:r>
        <w:t xml:space="preserve"> </w:t>
      </w:r>
      <w:r>
        <w:t xml:space="preserve">-</w:t>
      </w:r>
      <w:r>
        <w:t xml:space="preserve"> </w:t>
      </w:r>
      <w:r>
        <w:t xml:space="preserve">China</w:t>
      </w:r>
      <w:r>
        <w:t xml:space="preserve"> </w:t>
      </w:r>
      <w:r>
        <w:t xml:space="preserve">Beijing</w:t>
      </w:r>
    </w:p>
    <w:bookmarkStart w:id="21" w:name="quotation-estimate"/>
    <w:p>
      <w:pPr>
        <w:pStyle w:val="Heading1"/>
      </w:pPr>
      <w:r>
        <w:t xml:space="preserve">QUOTATION ESTIMATE</w:t>
      </w:r>
    </w:p>
    <w:bookmarkStart w:id="20" w:name="Xa7ca07467d42587c41610b0a1a41ac41ff1b5f8"/>
    <w:p>
      <w:pPr>
        <w:pStyle w:val="Heading2"/>
      </w:pPr>
      <w:r>
        <w:t xml:space="preserve">Professional Banker Services &amp; Deployment — China Beijing</w:t>
      </w:r>
    </w:p>
    <w:p>
      <w:pPr>
        <w:pStyle w:val="FirstParagraph"/>
      </w:pPr>
      <w:r>
        <w:t xml:space="preserve">Document Reference: QTE-BJ-2025-0471 | Classification: Commercial</w:t>
      </w:r>
    </w:p>
    <w:bookmarkEnd w:id="20"/>
    <w:bookmarkEnd w:id="21"/>
    <w:p>
      <w:pPr>
        <w:pStyle w:val="BodyText"/>
      </w:pPr>
      <w:r>
        <w:rPr>
          <w:bCs/>
          <w:b/>
        </w:rPr>
        <w:t xml:space="preserve">Prepared For</w:t>
      </w:r>
      <w:r>
        <w:t xml:space="preserve"> </w:t>
      </w:r>
      <w:r>
        <w:t xml:space="preserve">Meridian Capital Group (Beijing Branch)</w:t>
      </w:r>
      <w:r>
        <w:t xml:space="preserve"> </w:t>
      </w:r>
      <w:r>
        <w:t xml:space="preserve">Chaoyang District, Beijing, China</w:t>
      </w:r>
    </w:p>
    <w:p>
      <w:pPr>
        <w:pStyle w:val="BodyText"/>
      </w:pPr>
      <w:r>
        <w:rPr>
          <w:bCs/>
          <w:b/>
        </w:rPr>
        <w:t xml:space="preserve">Prepared By</w:t>
      </w:r>
      <w:r>
        <w:t xml:space="preserve"> </w:t>
      </w:r>
      <w:r>
        <w:t xml:space="preserve">Global Banking Solutions Ltd.</w:t>
      </w:r>
      <w:r>
        <w:t xml:space="preserve"> </w:t>
      </w:r>
      <w:r>
        <w:t xml:space="preserve">88 Financial Tower, Shanghai, China</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September 2025</w:t>
      </w:r>
    </w:p>
    <w:bookmarkStart w:id="22" w:name="executive-summary"/>
    <w:p>
      <w:pPr>
        <w:pStyle w:val="Heading3"/>
      </w:pPr>
      <w:r>
        <w:t xml:space="preserve">1. Executive Summary</w:t>
      </w:r>
    </w:p>
    <w:p>
      <w:pPr>
        <w:pStyle w:val="FirstParagraph"/>
      </w:pPr>
      <w:r>
        <w:t xml:space="preserve">This Quotation Estimate is issued by Global Banking Solutions Ltd. to Meridian Capital Group (Beijing Branch) for the provision of a dedicated, fully qualified</w:t>
      </w:r>
      <w:r>
        <w:t xml:space="preserve"> </w:t>
      </w:r>
      <w:r>
        <w:rPr>
          <w:bCs/>
          <w:b/>
        </w:rPr>
        <w:t xml:space="preserve">Banker</w:t>
      </w:r>
      <w:r>
        <w:t xml:space="preserve"> </w:t>
      </w:r>
      <w:r>
        <w:t xml:space="preserve">professional and associated banking operational services to be deployed and utilized within</w:t>
      </w:r>
      <w:r>
        <w:t xml:space="preserve"> </w:t>
      </w:r>
      <w:r>
        <w:rPr>
          <w:bCs/>
          <w:b/>
        </w:rPr>
        <w:t xml:space="preserve">China Beijing</w:t>
      </w:r>
      <w:r>
        <w:t xml:space="preserve">. The scope encompasses the recruitment, onboarding, and ongoing management of a senior-level Banker who will oversee client portfolio management, regulatory compliance, and interbank transactions specific to the Beijing metropolitan financial district. All pricing, terms, and conditions outlined in this Quotation Estimate are tailored to the operational requirements of a banking presence in China Beijing and reflect current market rates for qualified banking professionals in the region.</w:t>
      </w:r>
    </w:p>
    <w:bookmarkEnd w:id="22"/>
    <w:bookmarkStart w:id="23" w:name="X5206dfbbaa22c38f6f82e276a8b889f54ea3ee0"/>
    <w:p>
      <w:pPr>
        <w:pStyle w:val="Heading3"/>
      </w:pPr>
      <w:r>
        <w:t xml:space="preserve">2. Scope of Services — Banker Deployment in China Beijing</w:t>
      </w:r>
    </w:p>
    <w:p>
      <w:pPr>
        <w:pStyle w:val="FirstParagraph"/>
      </w:pPr>
      <w:r>
        <w:t xml:space="preserve">The Banker engaged under this Quotation Estimate shall perform the following duties within the Beijing operational base:</w:t>
      </w:r>
    </w:p>
    <w:p>
      <w:pPr>
        <w:numPr>
          <w:ilvl w:val="0"/>
          <w:numId w:val="1001"/>
        </w:numPr>
        <w:pStyle w:val="Compact"/>
      </w:pPr>
      <w:r>
        <w:t xml:space="preserve">Management of corporate and institutional client portfolios valued up to CNY 500 million per account.</w:t>
      </w:r>
    </w:p>
    <w:p>
      <w:pPr>
        <w:numPr>
          <w:ilvl w:val="0"/>
          <w:numId w:val="1001"/>
        </w:numPr>
        <w:pStyle w:val="Compact"/>
      </w:pPr>
      <w:r>
        <w:t xml:space="preserve">Execution of interbank lending, foreign exchange, and treasury operations compliant with the People's Bank of China (PBOC) regulations.</w:t>
      </w:r>
    </w:p>
    <w:p>
      <w:pPr>
        <w:numPr>
          <w:ilvl w:val="0"/>
          <w:numId w:val="1001"/>
        </w:numPr>
        <w:pStyle w:val="Compact"/>
      </w:pPr>
      <w:r>
        <w:t xml:space="preserve">Coordination with the Beijing Municipal Financial Regulatory Bureau for all licensing and reporting obligations.</w:t>
      </w:r>
    </w:p>
    <w:p>
      <w:pPr>
        <w:numPr>
          <w:ilvl w:val="0"/>
          <w:numId w:val="1001"/>
        </w:numPr>
        <w:pStyle w:val="Compact"/>
      </w:pPr>
      <w:r>
        <w:t xml:space="preserve">Client relationship management for high-net-worth individuals and institutional investors based in the Beijing financial corridor (CBD, Guomao, and Financial Street).</w:t>
      </w:r>
    </w:p>
    <w:p>
      <w:pPr>
        <w:numPr>
          <w:ilvl w:val="0"/>
          <w:numId w:val="1001"/>
        </w:numPr>
        <w:pStyle w:val="Compact"/>
      </w:pPr>
      <w:r>
        <w:t xml:space="preserve">Preparation of quarterly and annual compliance reports in accordance with Chinese banking law and international AML/CFT standards.</w:t>
      </w:r>
    </w:p>
    <w:p>
      <w:pPr>
        <w:numPr>
          <w:ilvl w:val="0"/>
          <w:numId w:val="1001"/>
        </w:numPr>
        <w:pStyle w:val="Compact"/>
      </w:pPr>
      <w:r>
        <w:t xml:space="preserve">Supervision of a team of up to six junior banking associates stationed in the Beijing office.</w:t>
      </w:r>
    </w:p>
    <w:bookmarkEnd w:id="23"/>
    <w:bookmarkStart w:id="24" w:name="itemized-cost-breakdown"/>
    <w:p>
      <w:pPr>
        <w:pStyle w:val="Heading3"/>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(CNY)</w:t>
            </w:r>
          </w:p>
        </w:tc>
        <w:tc>
          <w:tcPr/>
          <w:p>
            <w:pPr>
              <w:pStyle w:val="Compact"/>
              <w:jc w:val="left"/>
            </w:pPr>
            <w:r>
              <w:t xml:space="preserve">Total (CNY)</w:t>
            </w:r>
          </w:p>
        </w:tc>
      </w:tr>
      <w:tr>
        <w:tc>
          <w:tcPr/>
          <w:p>
            <w:pPr>
              <w:pStyle w:val="Compact"/>
              <w:jc w:val="left"/>
            </w:pPr>
            <w:r>
              <w:t xml:space="preserve">01</w:t>
            </w:r>
          </w:p>
        </w:tc>
        <w:tc>
          <w:tcPr/>
          <w:p>
            <w:pPr>
              <w:pStyle w:val="Compact"/>
              <w:jc w:val="left"/>
            </w:pPr>
            <w:r>
              <w:t xml:space="preserve">Senior Banker — Annual Retainer (Beijing-based, full-time)</w:t>
            </w:r>
          </w:p>
        </w:tc>
        <w:tc>
          <w:tcPr/>
          <w:p>
            <w:pPr>
              <w:pStyle w:val="Compact"/>
              <w:jc w:val="left"/>
            </w:pPr>
            <w:r>
              <w:t xml:space="preserve">Year</w:t>
            </w:r>
          </w:p>
        </w:tc>
        <w:tc>
          <w:tcPr/>
          <w:p>
            <w:pPr>
              <w:pStyle w:val="Compact"/>
              <w:jc w:val="left"/>
            </w:pPr>
            <w:r>
              <w:t xml:space="preserve">1</w:t>
            </w:r>
          </w:p>
        </w:tc>
        <w:tc>
          <w:tcPr/>
          <w:p>
            <w:pPr>
              <w:pStyle w:val="Compact"/>
              <w:jc w:val="left"/>
            </w:pPr>
            <w:r>
              <w:t xml:space="preserve">1,280,000</w:t>
            </w:r>
          </w:p>
        </w:tc>
        <w:tc>
          <w:tcPr/>
          <w:p>
            <w:pPr>
              <w:pStyle w:val="Compact"/>
              <w:jc w:val="left"/>
            </w:pPr>
            <w:r>
              <w:t xml:space="preserve">1,280,000</w:t>
            </w:r>
          </w:p>
        </w:tc>
      </w:tr>
      <w:tr>
        <w:tc>
          <w:tcPr/>
          <w:p>
            <w:pPr>
              <w:pStyle w:val="Compact"/>
              <w:jc w:val="left"/>
            </w:pPr>
            <w:r>
              <w:t xml:space="preserve">02</w:t>
            </w:r>
          </w:p>
        </w:tc>
        <w:tc>
          <w:tcPr/>
          <w:p>
            <w:pPr>
              <w:pStyle w:val="Compact"/>
              <w:jc w:val="left"/>
            </w:pPr>
            <w:r>
              <w:t xml:space="preserve">Banker Recruitment, Vetting &amp; Onboarding (Beijing HR Compliance)</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03</w:t>
            </w:r>
          </w:p>
        </w:tc>
        <w:tc>
          <w:tcPr/>
          <w:p>
            <w:pPr>
              <w:pStyle w:val="Compact"/>
              <w:jc w:val="left"/>
            </w:pPr>
            <w:r>
              <w:t xml:space="preserve">Banking Technology Platform License (Beijing Data Center Hosting)</w:t>
            </w:r>
          </w:p>
        </w:tc>
        <w:tc>
          <w:tcPr/>
          <w:p>
            <w:pPr>
              <w:pStyle w:val="Compact"/>
              <w:jc w:val="left"/>
            </w:pPr>
            <w:r>
              <w:t xml:space="preserve">Year</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04</w:t>
            </w:r>
          </w:p>
        </w:tc>
        <w:tc>
          <w:tcPr/>
          <w:p>
            <w:pPr>
              <w:pStyle w:val="Compact"/>
              <w:jc w:val="left"/>
            </w:pPr>
            <w:r>
              <w:t xml:space="preserve">Regulatory Compliance &amp; PBOC Filing Fees (China Beijing Jurisdiction)</w:t>
            </w:r>
          </w:p>
        </w:tc>
        <w:tc>
          <w:tcPr/>
          <w:p>
            <w:pPr>
              <w:pStyle w:val="Compact"/>
              <w:jc w:val="left"/>
            </w:pPr>
            <w:r>
              <w:t xml:space="preserve">Year</w:t>
            </w:r>
          </w:p>
        </w:tc>
        <w:tc>
          <w:tcPr/>
          <w:p>
            <w:pPr>
              <w:pStyle w:val="Compact"/>
              <w:jc w:val="left"/>
            </w:pPr>
            <w:r>
              <w:t xml:space="preserve">1</w:t>
            </w:r>
          </w:p>
        </w:tc>
        <w:tc>
          <w:tcPr/>
          <w:p>
            <w:pPr>
              <w:pStyle w:val="Compact"/>
              <w:jc w:val="left"/>
            </w:pPr>
            <w:r>
              <w:t xml:space="preserve">145,000</w:t>
            </w:r>
          </w:p>
        </w:tc>
        <w:tc>
          <w:tcPr/>
          <w:p>
            <w:pPr>
              <w:pStyle w:val="Compact"/>
              <w:jc w:val="left"/>
            </w:pPr>
            <w:r>
              <w:t xml:space="preserve">145,000</w:t>
            </w:r>
          </w:p>
        </w:tc>
      </w:tr>
      <w:tr>
        <w:tc>
          <w:tcPr/>
          <w:p>
            <w:pPr>
              <w:pStyle w:val="Compact"/>
              <w:jc w:val="left"/>
            </w:pPr>
            <w:r>
              <w:t xml:space="preserve">05</w:t>
            </w:r>
          </w:p>
        </w:tc>
        <w:tc>
          <w:tcPr/>
          <w:p>
            <w:pPr>
              <w:pStyle w:val="Compact"/>
              <w:jc w:val="left"/>
            </w:pPr>
            <w:r>
              <w:t xml:space="preserve">Office Space Allocation — Financial Street, Beijing (120 sqm, furnished)</w:t>
            </w:r>
          </w:p>
        </w:tc>
        <w:tc>
          <w:tcPr/>
          <w:p>
            <w:pPr>
              <w:pStyle w:val="Compact"/>
              <w:jc w:val="left"/>
            </w:pPr>
            <w:r>
              <w:t xml:space="preserve">Year</w:t>
            </w:r>
          </w:p>
        </w:tc>
        <w:tc>
          <w:tcPr/>
          <w:p>
            <w:pPr>
              <w:pStyle w:val="Compact"/>
              <w:jc w:val="left"/>
            </w:pPr>
            <w:r>
              <w:t xml:space="preserve">1</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06</w:t>
            </w:r>
          </w:p>
        </w:tc>
        <w:tc>
          <w:tcPr/>
          <w:p>
            <w:pPr>
              <w:pStyle w:val="Compact"/>
              <w:jc w:val="left"/>
            </w:pPr>
            <w:r>
              <w:t xml:space="preserve">Banker Professional Liability &amp; Fidelity Insurance (China Coverage)</w:t>
            </w:r>
          </w:p>
        </w:tc>
        <w:tc>
          <w:tcPr/>
          <w:p>
            <w:pPr>
              <w:pStyle w:val="Compact"/>
              <w:jc w:val="left"/>
            </w:pPr>
            <w:r>
              <w:t xml:space="preserve">Year</w:t>
            </w:r>
          </w:p>
        </w:tc>
        <w:tc>
          <w:tcPr/>
          <w:p>
            <w:pPr>
              <w:pStyle w:val="Compact"/>
              <w:jc w:val="left"/>
            </w:pPr>
            <w:r>
              <w:t xml:space="preserve">1</w:t>
            </w:r>
          </w:p>
        </w:tc>
        <w:tc>
          <w:tcPr/>
          <w:p>
            <w:pPr>
              <w:pStyle w:val="Compact"/>
              <w:jc w:val="left"/>
            </w:pPr>
            <w:r>
              <w:t xml:space="preserve">62,000</w:t>
            </w:r>
          </w:p>
        </w:tc>
        <w:tc>
          <w:tcPr/>
          <w:p>
            <w:pPr>
              <w:pStyle w:val="Compact"/>
              <w:jc w:val="left"/>
            </w:pPr>
            <w:r>
              <w:t xml:space="preserve">62,000</w:t>
            </w:r>
          </w:p>
        </w:tc>
      </w:tr>
      <w:tr>
        <w:tc>
          <w:tcPr/>
          <w:p>
            <w:pPr>
              <w:pStyle w:val="Compact"/>
              <w:jc w:val="left"/>
            </w:pPr>
            <w:r>
              <w:t xml:space="preserve">07</w:t>
            </w:r>
          </w:p>
        </w:tc>
        <w:tc>
          <w:tcPr/>
          <w:p>
            <w:pPr>
              <w:pStyle w:val="Compact"/>
              <w:jc w:val="left"/>
            </w:pPr>
            <w:r>
              <w:t xml:space="preserve">Continuing Professional Development &amp; CFA/FRM Exam Sponsorship</w:t>
            </w:r>
          </w:p>
        </w:tc>
        <w:tc>
          <w:tcPr/>
          <w:p>
            <w:pPr>
              <w:pStyle w:val="Compact"/>
              <w:jc w:val="left"/>
            </w:pPr>
            <w:r>
              <w:t xml:space="preserve">Year</w:t>
            </w:r>
          </w:p>
        </w:tc>
        <w:tc>
          <w:tcPr/>
          <w:p>
            <w:pPr>
              <w:pStyle w:val="Compact"/>
              <w:jc w:val="left"/>
            </w:pPr>
            <w:r>
              <w:t xml:space="preserve">1</w:t>
            </w:r>
          </w:p>
        </w:tc>
        <w:tc>
          <w:tcPr/>
          <w:p>
            <w:pPr>
              <w:pStyle w:val="Compact"/>
              <w:jc w:val="left"/>
            </w:pPr>
            <w:r>
              <w:t xml:space="preserve">38,000</w:t>
            </w:r>
          </w:p>
        </w:tc>
        <w:tc>
          <w:tcPr/>
          <w:p>
            <w:pPr>
              <w:pStyle w:val="Compact"/>
              <w:jc w:val="left"/>
            </w:pPr>
            <w:r>
              <w:t xml:space="preserve">38,000</w:t>
            </w:r>
          </w:p>
        </w:tc>
      </w:tr>
      <w:tr>
        <w:tc>
          <w:tcPr/>
          <w:p>
            <w:pPr>
              <w:pStyle w:val="Compact"/>
              <w:jc w:val="left"/>
            </w:pPr>
            <w:r>
              <w:t xml:space="preserve">08</w:t>
            </w:r>
          </w:p>
        </w:tc>
        <w:tc>
          <w:tcPr/>
          <w:p>
            <w:pPr>
              <w:pStyle w:val="Compact"/>
              <w:jc w:val="left"/>
            </w:pPr>
            <w:r>
              <w:t xml:space="preserve">Travel &amp; Client Entertainment Allowance (Beijing Metro Area)</w:t>
            </w:r>
          </w:p>
        </w:tc>
        <w:tc>
          <w:tcPr/>
          <w:p>
            <w:pPr>
              <w:pStyle w:val="Compact"/>
              <w:jc w:val="left"/>
            </w:pPr>
            <w:r>
              <w:t xml:space="preserve">Year</w:t>
            </w:r>
          </w:p>
        </w:tc>
        <w:tc>
          <w:tcPr/>
          <w:p>
            <w:pPr>
              <w:pStyle w:val="Compact"/>
              <w:jc w:val="left"/>
            </w:pPr>
            <w:r>
              <w:t xml:space="preserve">1</w:t>
            </w:r>
          </w:p>
        </w:tc>
        <w:tc>
          <w:tcPr/>
          <w:p>
            <w:pPr>
              <w:pStyle w:val="Compact"/>
              <w:jc w:val="left"/>
            </w:pPr>
            <w:r>
              <w:t xml:space="preserve">55,000</w:t>
            </w:r>
          </w:p>
        </w:tc>
        <w:tc>
          <w:tcPr/>
          <w:p>
            <w:pPr>
              <w:pStyle w:val="Compact"/>
              <w:jc w:val="left"/>
            </w:pPr>
            <w:r>
              <w:t xml:space="preserve">55,000</w:t>
            </w:r>
          </w:p>
        </w:tc>
      </w:tr>
      <w:tr>
        <w:tc>
          <w:tcPr>
            <w:gridSpan w:val="5"/>
          </w:tcPr>
          <w:p>
            <w:pPr>
              <w:pStyle w:val="Compact"/>
              <w:jc w:val="left"/>
            </w:pPr>
            <w:r>
              <w:t xml:space="preserve">TOTAL ESTIMATED ANNUAL COST (CNY)</w:t>
            </w:r>
          </w:p>
        </w:tc>
        <w:tc>
          <w:tcPr/>
          <w:p>
            <w:pPr>
              <w:pStyle w:val="Compact"/>
              <w:jc w:val="left"/>
            </w:pPr>
            <w:r>
              <w:t xml:space="preserve">2,465,000</w:t>
            </w:r>
          </w:p>
        </w:tc>
      </w:tr>
    </w:tbl>
    <w:bookmarkEnd w:id="24"/>
    <w:bookmarkStart w:id="25" w:name="payment-terms"/>
    <w:p>
      <w:pPr>
        <w:pStyle w:val="Heading3"/>
      </w:pPr>
      <w:r>
        <w:t xml:space="preserve">4. Payment Terms</w:t>
      </w:r>
    </w:p>
    <w:p>
      <w:pPr>
        <w:pStyle w:val="FirstParagraph"/>
      </w:pPr>
      <w:r>
        <w:t xml:space="preserve">All amounts stated in this Quotation Estimate are denominated in Chinese Yuan (CNY) and are exclusive of applicable Value Added Tax (VAT) at the prevailing rate of 6% for financial services in China Beijing. Payment shall be structured as follows: 40% upon execution of the service agreement, 30% upon confirmed onboarding of the Banker in Beijing, and the remaining 30% payable in quarterly installments aligned with the fiscal calendar of the People's Republic of China. All payments shall be remitted via wire transfer to the designated corporate account of Global Banking Solutions Ltd. in Shanghai, with reference to the document number QTE-BJ-2025-0471.</w:t>
      </w:r>
    </w:p>
    <w:bookmarkEnd w:id="25"/>
    <w:bookmarkStart w:id="26" w:name="validity-acceptance"/>
    <w:p>
      <w:pPr>
        <w:pStyle w:val="Heading3"/>
      </w:pPr>
      <w:r>
        <w:t xml:space="preserve">5. Validity &amp; Acceptance</w:t>
      </w:r>
    </w:p>
    <w:p>
      <w:pPr>
        <w:pStyle w:val="FirstParagraph"/>
      </w:pPr>
      <w:r>
        <w:t xml:space="preserve">This Quotation Estimate remains valid for a period of ninety (90) calendar days from the date of issuance. Acceptance of this Quotation Estimate constitutes a binding commitment to the terms herein. Should the client require modifications to the scope of the Banker's responsibilities or adjustments to the Beijing operational footprint, a revised Quotation Estimate shall be issued at no additional cost within five (5) business days of the written request.</w:t>
      </w:r>
    </w:p>
    <w:p>
      <w:pPr>
        <w:pStyle w:val="BodyText"/>
      </w:pPr>
      <w:r>
        <w:rPr>
          <w:bCs/>
          <w:b/>
        </w:rPr>
        <w:t xml:space="preserve">Important Note:</w:t>
      </w:r>
      <w:r>
        <w:t xml:space="preserve"> </w:t>
      </w:r>
      <w:r>
        <w:t xml:space="preserve">The Banker engaged under this Quotation Estimate must hold a valid banking license issued by the National Financial Regulatory Administration (NFRA) of China and must be physically resident in Beijing for a minimum of 220 working days per annum. Any relocation outside the Beijing municipality requires prior written consent from both parties and may trigger a revised Quotation Estimate.</w:t>
      </w:r>
    </w:p>
    <w:bookmarkEnd w:id="26"/>
    <w:bookmarkStart w:id="27" w:name="terms-conditions"/>
    <w:p>
      <w:pPr>
        <w:pStyle w:val="Heading3"/>
      </w:pPr>
      <w:r>
        <w:t xml:space="preserve">6. Terms &amp; Conditions</w:t>
      </w:r>
    </w:p>
    <w:p>
      <w:pPr>
        <w:numPr>
          <w:ilvl w:val="0"/>
          <w:numId w:val="1002"/>
        </w:numPr>
        <w:pStyle w:val="Compact"/>
      </w:pPr>
      <w:r>
        <w:t xml:space="preserve">This Quotation Estimate is non-transferable and is issued exclusively for Meridian Capital Group (Beijing Branch).</w:t>
      </w:r>
    </w:p>
    <w:p>
      <w:pPr>
        <w:numPr>
          <w:ilvl w:val="0"/>
          <w:numId w:val="1002"/>
        </w:numPr>
        <w:pStyle w:val="Compact"/>
      </w:pPr>
      <w:r>
        <w:t xml:space="preserve">The Banker shall be subject to the Labor Law of the People's Republic of China and all applicable Beijing municipal employment regulations.</w:t>
      </w:r>
    </w:p>
    <w:p>
      <w:pPr>
        <w:numPr>
          <w:ilvl w:val="0"/>
          <w:numId w:val="1002"/>
        </w:numPr>
        <w:pStyle w:val="Compact"/>
      </w:pPr>
      <w:r>
        <w:t xml:space="preserve">Global Banking Solutions Ltd. reserves the right to substitute the Banker with a professional of equivalent or superior qualification, subject to client approval, in the event of resignation, medical leave, or regulatory disqualification.</w:t>
      </w:r>
    </w:p>
    <w:p>
      <w:pPr>
        <w:numPr>
          <w:ilvl w:val="0"/>
          <w:numId w:val="1002"/>
        </w:numPr>
        <w:pStyle w:val="Compact"/>
      </w:pPr>
      <w:r>
        <w:t xml:space="preserve">All client data and financial records handled by the Banker in China Beijing shall be stored exclusively on servers located within the People's Republic of China, in compliance with the Cybersecurity Law and the Data Security Law of China.</w:t>
      </w:r>
    </w:p>
    <w:p>
      <w:pPr>
        <w:numPr>
          <w:ilvl w:val="0"/>
          <w:numId w:val="1002"/>
        </w:numPr>
        <w:pStyle w:val="Compact"/>
      </w:pPr>
      <w:r>
        <w:t xml:space="preserve">Termination of this engagement may be effected by either party with a minimum of sixty (60) days' written notice. Early termination by the client prior to the completion of the first contract year shall incur a penalty of 25% of the remaining annual fee.</w:t>
      </w:r>
    </w:p>
    <w:p>
      <w:pPr>
        <w:numPr>
          <w:ilvl w:val="0"/>
          <w:numId w:val="1002"/>
        </w:numPr>
        <w:pStyle w:val="Compact"/>
      </w:pPr>
      <w:r>
        <w:t xml:space="preserve">Disputes arising from this Quotation Estimate shall be resolved through arbitration under the rules of the China International Economic and Trade Arbitration Commission (CIETAC) in Beijing.</w:t>
      </w:r>
    </w:p>
    <w:p>
      <w:pPr>
        <w:numPr>
          <w:ilvl w:val="0"/>
          <w:numId w:val="1002"/>
        </w:numPr>
        <w:pStyle w:val="Compact"/>
      </w:pPr>
      <w:r>
        <w:t xml:space="preserve">This Quotation Estimate does not constitute a guarantee of financial performance, investment returns, or regulatory approval by any Chinese governmental body.</w:t>
      </w:r>
    </w:p>
    <w:p>
      <w:pPr>
        <w:pStyle w:val="FirstParagraph"/>
      </w:pPr>
      <w:r>
        <w:rPr>
          <w:bCs/>
          <w:b/>
        </w:rPr>
        <w:t xml:space="preserve">For and on behalf of Global Banking Solutions Ltd.</w:t>
      </w:r>
    </w:p>
    <w:p>
      <w:pPr>
        <w:pStyle w:val="BodyText"/>
      </w:pPr>
      <w:r>
        <w:t xml:space="preserve">Authorized Signatory</w:t>
      </w:r>
      <w:r>
        <w:br/>
      </w:r>
      <w:r>
        <w:t xml:space="preserve">Name: Zhang Wei, Director of Banking Operations</w:t>
      </w:r>
      <w:r>
        <w:br/>
      </w:r>
      <w:r>
        <w:t xml:space="preserve">Date: _______________</w:t>
      </w:r>
    </w:p>
    <w:p>
      <w:pPr>
        <w:pStyle w:val="BodyText"/>
      </w:pPr>
      <w:r>
        <w:rPr>
          <w:bCs/>
          <w:b/>
        </w:rPr>
        <w:t xml:space="preserve">Accepted by Meridian Capital Group (Beijing Branch)</w:t>
      </w:r>
    </w:p>
    <w:p>
      <w:pPr>
        <w:pStyle w:val="BodyText"/>
      </w:pPr>
      <w:r>
        <w:t xml:space="preserve">Authorized Signatory</w:t>
      </w:r>
      <w:r>
        <w:br/>
      </w:r>
      <w:r>
        <w:t xml:space="preserve">Name: _________________________</w:t>
      </w:r>
      <w:r>
        <w:br/>
      </w:r>
      <w:r>
        <w:t xml:space="preserve">Date: _______________</w:t>
      </w:r>
    </w:p>
    <w:p>
      <w:pPr>
        <w:pStyle w:val="BodyText"/>
      </w:pPr>
      <w:r>
        <w:t xml:space="preserve">Global Banking Solutions Ltd. | 88 Financial Tower, Pudong New Area, Shanghai 200120, China</w:t>
      </w:r>
    </w:p>
    <w:p>
      <w:pPr>
        <w:pStyle w:val="BodyText"/>
      </w:pPr>
      <w:r>
        <w:t xml:space="preserve">Registration No.: 91310000MA1FL8XK2P | Tel: +86-21-5888-6600 | Email: quotations@globalbankingsolutions.cn</w:t>
      </w:r>
    </w:p>
    <w:p>
      <w:pPr>
        <w:pStyle w:val="BodyText"/>
      </w:pPr>
      <w:r>
        <w:t xml:space="preserve">This Quotation Estimate is a commercial document. All references to "Banker" denote a licensed banking professional. All operational references to "China Beijing" pertain to the municipality of Beijing, People's Republic of China. This document is not an offer of securities or investment advice.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Banker Services - China Beijing</dc:title>
  <dc:creator/>
  <dc:language>en</dc:language>
  <cp:keywords/>
  <dcterms:created xsi:type="dcterms:W3CDTF">2026-10-10T06:41:23Z</dcterms:created>
  <dcterms:modified xsi:type="dcterms:W3CDTF">2026-10-10T06:41:23Z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