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China</w:t>
      </w:r>
      <w:r>
        <w:t xml:space="preserve"> </w:t>
      </w:r>
      <w:r>
        <w:t xml:space="preserve">Shanghai</w:t>
      </w:r>
    </w:p>
    <w:bookmarkStart w:id="26" w:name="quotation-estimate"/>
    <w:p>
      <w:pPr>
        <w:pStyle w:val="Heading1"/>
      </w:pPr>
      <w:r>
        <w:t xml:space="preserve">QUOTATION ESTIMATE</w:t>
      </w:r>
    </w:p>
    <w:p>
      <w:pPr>
        <w:pStyle w:val="FirstParagraph"/>
      </w:pPr>
      <w:r>
        <w:t xml:space="preserve">Banker Services &amp; Financial Infrastructure Solutions — China Shanghai</w:t>
      </w:r>
    </w:p>
    <w:p>
      <w:pPr>
        <w:pStyle w:val="BodyText"/>
      </w:pPr>
      <w:r>
        <w:t xml:space="preserve">Quotation Reference No.:</w:t>
      </w:r>
      <w:r>
        <w:t xml:space="preserve"> </w:t>
      </w:r>
      <w:r>
        <w:t xml:space="preserve">QTE-SH-2025-04871</w:t>
      </w:r>
    </w:p>
    <w:p>
      <w:pPr>
        <w:pStyle w:val="BodyText"/>
      </w:pPr>
      <w:r>
        <w:t xml:space="preserve">Date of Issue:</w:t>
      </w:r>
      <w:r>
        <w:t xml:space="preserve"> </w:t>
      </w:r>
      <w:r>
        <w:t xml:space="preserve">15 June 2025</w:t>
      </w:r>
    </w:p>
    <w:p>
      <w:pPr>
        <w:pStyle w:val="BodyText"/>
      </w:pPr>
      <w:r>
        <w:t xml:space="preserve">Validity Period:</w:t>
      </w:r>
      <w:r>
        <w:t xml:space="preserve"> </w:t>
      </w:r>
      <w:r>
        <w:t xml:space="preserve">90 days from date of issue</w:t>
      </w:r>
    </w:p>
    <w:p>
      <w:pPr>
        <w:pStyle w:val="BodyText"/>
      </w:pPr>
      <w:r>
        <w:t xml:space="preserve">Currency:</w:t>
      </w:r>
      <w:r>
        <w:t xml:space="preserve"> </w:t>
      </w:r>
      <w:r>
        <w:t xml:space="preserve">Chinese Yuan (CNY / RMB)</w:t>
      </w:r>
    </w:p>
    <w:p>
      <w:pPr>
        <w:pStyle w:val="BodyText"/>
      </w:pPr>
      <w:r>
        <w:t xml:space="preserve">Prepared By:</w:t>
      </w:r>
      <w:r>
        <w:t xml:space="preserve"> </w:t>
      </w:r>
      <w:r>
        <w:t xml:space="preserve">Meridian Global Banking Solutions Ltd.</w:t>
      </w:r>
    </w:p>
    <w:p>
      <w:pPr>
        <w:pStyle w:val="BodyText"/>
      </w:pPr>
      <w:r>
        <w:t xml:space="preserve">Address:</w:t>
      </w:r>
      <w:r>
        <w:t xml:space="preserve"> </w:t>
      </w:r>
      <w:r>
        <w:t xml:space="preserve">88 Pudong Avenue, Lujiazui Financial District, Shanghai 200120, China</w:t>
      </w:r>
    </w:p>
    <w:p>
      <w:pPr>
        <w:pStyle w:val="BodyText"/>
      </w:pPr>
      <w:r>
        <w:t xml:space="preserve">Contact:</w:t>
      </w:r>
      <w:r>
        <w:t xml:space="preserve"> </w:t>
      </w:r>
      <w:r>
        <w:t xml:space="preserve">+86 21 5888 6720</w:t>
      </w:r>
    </w:p>
    <w:p>
      <w:pPr>
        <w:pStyle w:val="BodyText"/>
      </w:pPr>
      <w:r>
        <w:t xml:space="preserve">Email:</w:t>
      </w:r>
      <w:r>
        <w:t xml:space="preserve"> </w:t>
      </w:r>
      <w:r>
        <w:t xml:space="preserve">quotations.shanghai@meridian-gbs.com</w:t>
      </w:r>
    </w:p>
    <w:p>
      <w:pPr>
        <w:pStyle w:val="BodyText"/>
      </w:pPr>
      <w:r>
        <w:t xml:space="preserve">Prepared For:</w:t>
      </w:r>
      <w:r>
        <w:t xml:space="preserve"> </w:t>
      </w:r>
      <w:r>
        <w:t xml:space="preserve">Shanghai International Commercial Bank Co., Ltd.</w:t>
      </w:r>
    </w:p>
    <w:p>
      <w:pPr>
        <w:pStyle w:val="BodyText"/>
      </w:pPr>
      <w:r>
        <w:t xml:space="preserve">Attn:</w:t>
      </w:r>
      <w:r>
        <w:t xml:space="preserve"> </w:t>
      </w:r>
      <w:r>
        <w:t xml:space="preserve">Mr. Wei Zhang, Chief Operations Officer</w:t>
      </w:r>
    </w:p>
    <w:p>
      <w:pPr>
        <w:pStyle w:val="BodyText"/>
      </w:pPr>
      <w:r>
        <w:t xml:space="preserve">Address:</w:t>
      </w:r>
      <w:r>
        <w:t xml:space="preserve"> </w:t>
      </w:r>
      <w:r>
        <w:t xml:space="preserve">120 Nanjing East Road, Huangpu District, Shanghai 200001, China</w:t>
      </w:r>
    </w:p>
    <w:p>
      <w:pPr>
        <w:pStyle w:val="BodyText"/>
      </w:pPr>
      <w:r>
        <w:t xml:space="preserve">Project Title:</w:t>
      </w:r>
      <w:r>
        <w:t xml:space="preserve"> </w:t>
      </w:r>
      <w:r>
        <w:t xml:space="preserve">Comprehensive Banker Workstation &amp; Digital Banking Infrastructure Deployment</w:t>
      </w:r>
    </w:p>
    <w:p>
      <w:pPr>
        <w:pStyle w:val="BodyText"/>
      </w:pPr>
      <w:r>
        <w:t xml:space="preserve">Location of Deployment:</w:t>
      </w:r>
      <w:r>
        <w:t xml:space="preserve"> </w:t>
      </w:r>
      <w:r>
        <w:t xml:space="preserve">Multiple branches across China Shanghai metropolitan area</w:t>
      </w:r>
    </w:p>
    <w:p>
      <w:pPr>
        <w:pStyle w:val="BodyText"/>
      </w:pPr>
      <w:r>
        <w:t xml:space="preserve">Estimated Completion:</w:t>
      </w:r>
      <w:r>
        <w:t xml:space="preserve"> </w:t>
      </w:r>
      <w:r>
        <w:t xml:space="preserve">120 business days from contract execution</w:t>
      </w:r>
    </w:p>
    <w:bookmarkStart w:id="20" w:name="executive-summary"/>
    <w:p>
      <w:pPr>
        <w:pStyle w:val="Heading2"/>
      </w:pPr>
      <w:r>
        <w:t xml:space="preserve">1. Executive Summary</w:t>
      </w:r>
    </w:p>
    <w:p>
      <w:pPr>
        <w:pStyle w:val="FirstParagraph"/>
      </w:pPr>
      <w:r>
        <w:t xml:space="preserve">This Quotation Estimate is issued by Meridian Global Banking Solutions Ltd. to Shanghai International Commercial Bank Co., Ltd. for the design, supply, installation, and commissioning of a comprehensive Banker workstation system and associated digital banking infrastructure. The scope of work encompasses the provision of state-of-the-art banking terminals, secure communication networks, compliance software, and ongoing technical support tailored specifically for the operational requirements of a Banker operating within the regulated financial environment of China Shanghai. All pricing, terms, and conditions herein are structured in accordance with the regulations of the People's Bank of China (PBOC) and the China Banking and Insurance Regulatory Commission (CBIRC).</w:t>
      </w:r>
    </w:p>
    <w:bookmarkEnd w:id="20"/>
    <w:bookmarkStart w:id="21" w:name="scope-of-services-and-itemized-estimate"/>
    <w:p>
      <w:pPr>
        <w:pStyle w:val="Heading2"/>
      </w:pPr>
      <w:r>
        <w:t xml:space="preserve">2. Scope of Services and Itemized Estimate</w:t>
      </w:r>
    </w:p>
    <w:p>
      <w:pPr>
        <w:pStyle w:val="FirstParagraph"/>
      </w:pPr>
      <w:r>
        <w:t xml:space="preserve">The following Quotation Estimate details each component of the Banker workstation and banking infrastructure package to be deployed across the client's branch network in China Shanghai: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Banker Workstation Terminal (Dual 27-inch 4K displays, encrypted keyboard, biometric authentication module, PBOC-compliant hardware)</w:t>
            </w:r>
          </w:p>
        </w:tc>
        <w:tc>
          <w:tcPr/>
          <w:p>
            <w:pPr>
              <w:pStyle w:val="Compact"/>
              <w:jc w:val="left"/>
            </w:pPr>
            <w:r>
              <w:t xml:space="preserve">45</w:t>
            </w:r>
          </w:p>
        </w:tc>
        <w:tc>
          <w:tcPr/>
          <w:p>
            <w:pPr>
              <w:pStyle w:val="Compact"/>
              <w:jc w:val="left"/>
            </w:pPr>
            <w:r>
              <w:t xml:space="preserve">38,500.00</w:t>
            </w:r>
          </w:p>
        </w:tc>
        <w:tc>
          <w:tcPr/>
          <w:p>
            <w:pPr>
              <w:pStyle w:val="Compact"/>
              <w:jc w:val="left"/>
            </w:pPr>
            <w:r>
              <w:t xml:space="preserve">1,732,500.00</w:t>
            </w:r>
          </w:p>
        </w:tc>
        <w:tc>
          <w:tcPr/>
          <w:p>
            <w:pPr>
              <w:pStyle w:val="Compact"/>
              <w:jc w:val="left"/>
            </w:pPr>
            <w:r>
              <w:t xml:space="preserve">Per branch (3 per branch, 15 branches)</w:t>
            </w:r>
          </w:p>
        </w:tc>
      </w:tr>
      <w:tr>
        <w:tc>
          <w:tcPr/>
          <w:p>
            <w:pPr>
              <w:pStyle w:val="Compact"/>
              <w:jc w:val="left"/>
            </w:pPr>
            <w:r>
              <w:t xml:space="preserve">2</w:t>
            </w:r>
          </w:p>
        </w:tc>
        <w:tc>
          <w:tcPr/>
          <w:p>
            <w:pPr>
              <w:pStyle w:val="Compact"/>
              <w:jc w:val="left"/>
            </w:pPr>
            <w:r>
              <w:t xml:space="preserve">Secure Banking Communication Network (Dedicated fiber-optic link, AES-256 encryption, redundant routing within Shanghai municipal network)</w:t>
            </w:r>
          </w:p>
        </w:tc>
        <w:tc>
          <w:tcPr/>
          <w:p>
            <w:pPr>
              <w:pStyle w:val="Compact"/>
              <w:jc w:val="left"/>
            </w:pPr>
            <w:r>
              <w:t xml:space="preserve">15</w:t>
            </w:r>
          </w:p>
        </w:tc>
        <w:tc>
          <w:tcPr/>
          <w:p>
            <w:pPr>
              <w:pStyle w:val="Compact"/>
              <w:jc w:val="left"/>
            </w:pPr>
            <w:r>
              <w:t xml:space="preserve">125,000.00</w:t>
            </w:r>
          </w:p>
        </w:tc>
        <w:tc>
          <w:tcPr/>
          <w:p>
            <w:pPr>
              <w:pStyle w:val="Compact"/>
              <w:jc w:val="left"/>
            </w:pPr>
            <w:r>
              <w:t xml:space="preserve">1,875,000.00</w:t>
            </w:r>
          </w:p>
        </w:tc>
        <w:tc>
          <w:tcPr/>
          <w:p>
            <w:pPr>
              <w:pStyle w:val="Compact"/>
              <w:jc w:val="left"/>
            </w:pPr>
            <w:r>
              <w:t xml:space="preserve">Per branch location in China Shanghai</w:t>
            </w:r>
          </w:p>
        </w:tc>
      </w:tr>
      <w:tr>
        <w:tc>
          <w:tcPr/>
          <w:p>
            <w:pPr>
              <w:pStyle w:val="Compact"/>
              <w:jc w:val="left"/>
            </w:pPr>
            <w:r>
              <w:t xml:space="preserve">3</w:t>
            </w:r>
          </w:p>
        </w:tc>
        <w:tc>
          <w:tcPr/>
          <w:p>
            <w:pPr>
              <w:pStyle w:val="Compact"/>
              <w:jc w:val="left"/>
            </w:pPr>
            <w:r>
              <w:t xml:space="preserve">Banker Compliance &amp; AML Software Suite (CBIRC reporting module, real-time transaction monitoring, KYC database integration)</w:t>
            </w:r>
          </w:p>
        </w:tc>
        <w:tc>
          <w:tcPr/>
          <w:p>
            <w:pPr>
              <w:pStyle w:val="Compact"/>
              <w:jc w:val="left"/>
            </w:pPr>
            <w:r>
              <w:t xml:space="preserve">1</w:t>
            </w:r>
          </w:p>
        </w:tc>
        <w:tc>
          <w:tcPr/>
          <w:p>
            <w:pPr>
              <w:pStyle w:val="Compact"/>
              <w:jc w:val="left"/>
            </w:pPr>
            <w:r>
              <w:t xml:space="preserve">2,450,000.00</w:t>
            </w:r>
          </w:p>
        </w:tc>
        <w:tc>
          <w:tcPr/>
          <w:p>
            <w:pPr>
              <w:pStyle w:val="Compact"/>
              <w:jc w:val="left"/>
            </w:pPr>
            <w:r>
              <w:t xml:space="preserve">2,450,000.00</w:t>
            </w:r>
          </w:p>
        </w:tc>
        <w:tc>
          <w:tcPr/>
          <w:p>
            <w:pPr>
              <w:pStyle w:val="Compact"/>
              <w:jc w:val="left"/>
            </w:pPr>
            <w:r>
              <w:t xml:space="preserve">Enterprise license, all branches</w:t>
            </w:r>
          </w:p>
        </w:tc>
      </w:tr>
      <w:tr>
        <w:tc>
          <w:tcPr/>
          <w:p>
            <w:pPr>
              <w:pStyle w:val="Compact"/>
              <w:jc w:val="left"/>
            </w:pPr>
            <w:r>
              <w:t xml:space="preserve">4</w:t>
            </w:r>
          </w:p>
        </w:tc>
        <w:tc>
          <w:tcPr/>
          <w:p>
            <w:pPr>
              <w:pStyle w:val="Compact"/>
              <w:jc w:val="left"/>
            </w:pPr>
            <w:r>
              <w:t xml:space="preserve">Digital Banking Customer Interface (Mobile banking app, online banking portal, QR payment integration compliant with Shanghai municipal regulations)</w:t>
            </w:r>
          </w:p>
        </w:tc>
        <w:tc>
          <w:tcPr/>
          <w:p>
            <w:pPr>
              <w:pStyle w:val="Compact"/>
              <w:jc w:val="left"/>
            </w:pPr>
            <w:r>
              <w:t xml:space="preserve">1</w:t>
            </w:r>
          </w:p>
        </w:tc>
        <w:tc>
          <w:tcPr/>
          <w:p>
            <w:pPr>
              <w:pStyle w:val="Compact"/>
              <w:jc w:val="left"/>
            </w:pPr>
            <w:r>
              <w:t xml:space="preserve">1,800,000.00</w:t>
            </w:r>
          </w:p>
        </w:tc>
        <w:tc>
          <w:tcPr/>
          <w:p>
            <w:pPr>
              <w:pStyle w:val="Compact"/>
              <w:jc w:val="left"/>
            </w:pPr>
            <w:r>
              <w:t xml:space="preserve">1,800,000.00</w:t>
            </w:r>
          </w:p>
        </w:tc>
        <w:tc>
          <w:tcPr/>
          <w:p>
            <w:pPr>
              <w:pStyle w:val="Compact"/>
              <w:jc w:val="left"/>
            </w:pPr>
            <w:r>
              <w:t xml:space="preserve">Includes 2 years of updates</w:t>
            </w:r>
          </w:p>
        </w:tc>
      </w:tr>
      <w:tr>
        <w:tc>
          <w:tcPr/>
          <w:p>
            <w:pPr>
              <w:pStyle w:val="Compact"/>
              <w:jc w:val="left"/>
            </w:pPr>
            <w:r>
              <w:t xml:space="preserve">5</w:t>
            </w:r>
          </w:p>
        </w:tc>
        <w:tc>
          <w:tcPr/>
          <w:p>
            <w:pPr>
              <w:pStyle w:val="Compact"/>
              <w:jc w:val="left"/>
            </w:pPr>
            <w:r>
              <w:t xml:space="preserve">Banker Training &amp; Certification Program (On-site training for 120 banking staff, PBOC regulatory compliance workshops, emergency protocol drills)</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c>
          <w:tcPr/>
          <w:p>
            <w:pPr>
              <w:pStyle w:val="Compact"/>
              <w:jc w:val="left"/>
            </w:pPr>
            <w:r>
              <w:t xml:space="preserve">Conducted in Mandarin and English</w:t>
            </w:r>
          </w:p>
        </w:tc>
      </w:tr>
      <w:tr>
        <w:tc>
          <w:tcPr/>
          <w:p>
            <w:pPr>
              <w:pStyle w:val="Compact"/>
              <w:jc w:val="left"/>
            </w:pPr>
            <w:r>
              <w:t xml:space="preserve">6</w:t>
            </w:r>
          </w:p>
        </w:tc>
        <w:tc>
          <w:tcPr/>
          <w:p>
            <w:pPr>
              <w:pStyle w:val="Compact"/>
              <w:jc w:val="left"/>
            </w:pPr>
            <w:r>
              <w:t xml:space="preserve">Physical Security Infrastructure (Biometric access control, CCTV surveillance with 90-day retention, fire suppression, secure vault integration per branch)</w:t>
            </w:r>
          </w:p>
        </w:tc>
        <w:tc>
          <w:tcPr/>
          <w:p>
            <w:pPr>
              <w:pStyle w:val="Compact"/>
              <w:jc w:val="left"/>
            </w:pPr>
            <w:r>
              <w:t xml:space="preserve">15</w:t>
            </w:r>
          </w:p>
        </w:tc>
        <w:tc>
          <w:tcPr/>
          <w:p>
            <w:pPr>
              <w:pStyle w:val="Compact"/>
              <w:jc w:val="left"/>
            </w:pPr>
            <w:r>
              <w:t xml:space="preserve">95,000.00</w:t>
            </w:r>
          </w:p>
        </w:tc>
        <w:tc>
          <w:tcPr/>
          <w:p>
            <w:pPr>
              <w:pStyle w:val="Compact"/>
              <w:jc w:val="left"/>
            </w:pPr>
            <w:r>
              <w:t xml:space="preserve">1,425,000.00</w:t>
            </w:r>
          </w:p>
        </w:tc>
        <w:tc>
          <w:tcPr/>
          <w:p>
            <w:pPr>
              <w:pStyle w:val="Compact"/>
              <w:jc w:val="left"/>
            </w:pPr>
            <w:r>
              <w:t xml:space="preserve">Per branch in China Shanghai</w:t>
            </w:r>
          </w:p>
        </w:tc>
      </w:tr>
      <w:tr>
        <w:tc>
          <w:tcPr/>
          <w:p>
            <w:pPr>
              <w:pStyle w:val="Compact"/>
              <w:jc w:val="left"/>
            </w:pPr>
            <w:r>
              <w:t xml:space="preserve">7</w:t>
            </w:r>
          </w:p>
        </w:tc>
        <w:tc>
          <w:tcPr/>
          <w:p>
            <w:pPr>
              <w:pStyle w:val="Compact"/>
              <w:jc w:val="left"/>
            </w:pPr>
            <w:r>
              <w:t xml:space="preserve">Disaster Recovery &amp; Business Continuity System (Off-site data center in Suzhou, 4-hour RTO, 15-minute RPO, quarterly failover testing)</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c>
          <w:tcPr/>
          <w:p>
            <w:pPr>
              <w:pStyle w:val="Compact"/>
              <w:jc w:val="left"/>
            </w:pPr>
            <w:r>
              <w:t xml:space="preserve">Annual service included</w:t>
            </w:r>
          </w:p>
        </w:tc>
      </w:tr>
      <w:tr>
        <w:tc>
          <w:tcPr/>
          <w:p>
            <w:pPr>
              <w:pStyle w:val="Compact"/>
              <w:jc w:val="left"/>
            </w:pPr>
            <w:r>
              <w:t xml:space="preserve">8</w:t>
            </w:r>
          </w:p>
        </w:tc>
        <w:tc>
          <w:tcPr/>
          <w:p>
            <w:pPr>
              <w:pStyle w:val="Compact"/>
              <w:jc w:val="left"/>
            </w:pPr>
            <w:r>
              <w:t xml:space="preserve">Ongoing Technical Support &amp; Maintenance (24/7 helpdesk, on-site engineer response within 4 hours, quarterly system audits, firmware updates)</w:t>
            </w:r>
          </w:p>
        </w:tc>
        <w:tc>
          <w:tcPr/>
          <w:p>
            <w:pPr>
              <w:pStyle w:val="Compact"/>
              <w:jc w:val="left"/>
            </w:pPr>
            <w:r>
              <w:t xml:space="preserve">3 yrs</w:t>
            </w:r>
          </w:p>
        </w:tc>
        <w:tc>
          <w:tcPr/>
          <w:p>
            <w:pPr>
              <w:pStyle w:val="Compact"/>
              <w:jc w:val="left"/>
            </w:pPr>
            <w:r>
              <w:t xml:space="preserve">420,000.00</w:t>
            </w:r>
          </w:p>
        </w:tc>
        <w:tc>
          <w:tcPr/>
          <w:p>
            <w:pPr>
              <w:pStyle w:val="Compact"/>
              <w:jc w:val="left"/>
            </w:pPr>
            <w:r>
              <w:t xml:space="preserve">1,260,000.00</w:t>
            </w:r>
          </w:p>
        </w:tc>
        <w:tc>
          <w:tcPr/>
          <w:p>
            <w:pPr>
              <w:pStyle w:val="Compact"/>
              <w:jc w:val="left"/>
            </w:pPr>
            <w:r>
              <w:t xml:space="preserve">Annual rate, 3-year term</w:t>
            </w:r>
          </w:p>
        </w:tc>
      </w:tr>
      <w:tr>
        <w:tc>
          <w:tcPr/>
          <w:p>
            <w:pPr>
              <w:pStyle w:val="Compact"/>
              <w:jc w:val="left"/>
            </w:pPr>
            <w:r>
              <w:t xml:space="preserve">9</w:t>
            </w:r>
          </w:p>
        </w:tc>
        <w:tc>
          <w:tcPr/>
          <w:p>
            <w:pPr>
              <w:pStyle w:val="Compact"/>
              <w:jc w:val="left"/>
            </w:pPr>
            <w:r>
              <w:t xml:space="preserve">Regulatory Filing &amp; Licensing Assistance (PBOC notification, CBIRC approval documentation, Shanghai local financial bureau registration)</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One-time professional service</w:t>
            </w:r>
          </w:p>
        </w:tc>
      </w:tr>
      <w:tr>
        <w:tc>
          <w:tcPr/>
          <w:p>
            <w:pPr>
              <w:pStyle w:val="Compact"/>
              <w:jc w:val="left"/>
            </w:pPr>
            <w:r>
              <w:t xml:space="preserve">10</w:t>
            </w:r>
          </w:p>
        </w:tc>
        <w:tc>
          <w:tcPr/>
          <w:p>
            <w:pPr>
              <w:pStyle w:val="Compact"/>
              <w:jc w:val="left"/>
            </w:pPr>
            <w:r>
              <w:t xml:space="preserve">Project Management &amp; Supervision (Dedicated project manager, weekly progress reporting, milestone acceptance sign-offs, final commissioning report)</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Full project duration</w:t>
            </w:r>
          </w:p>
        </w:tc>
      </w:tr>
    </w:tbl>
    <w:bookmarkEnd w:id="21"/>
    <w:bookmarkStart w:id="22"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(CNY)</w:t>
            </w:r>
          </w:p>
        </w:tc>
      </w:tr>
      <w:tr>
        <w:tc>
          <w:tcPr/>
          <w:p>
            <w:pPr>
              <w:pStyle w:val="Compact"/>
              <w:jc w:val="left"/>
            </w:pPr>
            <w:r>
              <w:t xml:space="preserve">Subtotal — All Items (1 through 10)</w:t>
            </w:r>
          </w:p>
        </w:tc>
        <w:tc>
          <w:tcPr/>
          <w:p>
            <w:pPr>
              <w:pStyle w:val="Compact"/>
              <w:jc w:val="left"/>
            </w:pPr>
            <w:r>
              <w:t xml:space="preserve">12,957,500.00</w:t>
            </w:r>
          </w:p>
        </w:tc>
      </w:tr>
      <w:tr>
        <w:tc>
          <w:tcPr/>
          <w:p>
            <w:pPr>
              <w:pStyle w:val="Compact"/>
              <w:jc w:val="left"/>
            </w:pPr>
            <w:r>
              <w:t xml:space="preserve">VAT (13% — applicable to goods and services in China)</w:t>
            </w:r>
          </w:p>
        </w:tc>
        <w:tc>
          <w:tcPr/>
          <w:p>
            <w:pPr>
              <w:pStyle w:val="Compact"/>
              <w:jc w:val="left"/>
            </w:pPr>
            <w:r>
              <w:t xml:space="preserve">1,684,475.00</w:t>
            </w:r>
          </w:p>
        </w:tc>
      </w:tr>
      <w:tr>
        <w:tc>
          <w:tcPr/>
          <w:p>
            <w:pPr>
              <w:pStyle w:val="Compact"/>
              <w:jc w:val="left"/>
            </w:pPr>
            <w:r>
              <w:t xml:space="preserve">Installation &amp; Commissioning (included in item pricing)</w:t>
            </w:r>
          </w:p>
        </w:tc>
        <w:tc>
          <w:tcPr/>
          <w:p>
            <w:pPr>
              <w:pStyle w:val="Compact"/>
              <w:jc w:val="left"/>
            </w:pPr>
            <w:r>
              <w:t xml:space="preserve">0.00</w:t>
            </w:r>
          </w:p>
        </w:tc>
      </w:tr>
      <w:tr>
        <w:tc>
          <w:tcPr/>
          <w:p>
            <w:pPr>
              <w:pStyle w:val="Compact"/>
              <w:jc w:val="left"/>
            </w:pPr>
            <w:r>
              <w:t xml:space="preserve">GRAND TOTAL (Tax Inclusive)</w:t>
            </w:r>
          </w:p>
        </w:tc>
        <w:tc>
          <w:tcPr/>
          <w:p>
            <w:pPr>
              <w:pStyle w:val="Compact"/>
              <w:jc w:val="left"/>
            </w:pPr>
            <w:r>
              <w:t xml:space="preserve">14,641,975.00</w:t>
            </w:r>
          </w:p>
        </w:tc>
      </w:tr>
    </w:tbl>
    <w:p>
      <w:pPr>
        <w:pStyle w:val="BodyText"/>
      </w:pPr>
      <w:r>
        <w:t xml:space="preserve">All amounts are quoted in Chinese Yuan (CNY). This Quotation Estimate is valid for a period of ninety (90) calendar days from the date of issue. Prices are subject to revision upon expiry or in the event of material changes in regulatory requirements by the PBOC or CBIRC.</w:t>
      </w:r>
    </w:p>
    <w:bookmarkEnd w:id="22"/>
    <w:bookmarkStart w:id="23" w:name="payment-terms"/>
    <w:p>
      <w:pPr>
        <w:pStyle w:val="Heading2"/>
      </w:pPr>
      <w:r>
        <w:t xml:space="preserve">4. Payment Terms</w:t>
      </w:r>
    </w:p>
    <w:p>
      <w:pPr>
        <w:pStyle w:val="FirstParagraph"/>
      </w:pPr>
      <w:r>
        <w:t xml:space="preserve">Payment shall be made via bank transfer to the account of Meridian Global Banking Solutions Ltd. at Industrial and Commercial Bank of China (ICBC), Shanghai Pudong Branch. The payment schedule for this Banker infrastructure project is structured as follows:</w:t>
      </w:r>
    </w:p>
    <w:p>
      <w:pPr>
        <w:numPr>
          <w:ilvl w:val="0"/>
          <w:numId w:val="1001"/>
        </w:numPr>
        <w:pStyle w:val="Compact"/>
      </w:pPr>
      <w:r>
        <w:rPr>
          <w:bCs/>
          <w:b/>
        </w:rPr>
        <w:t xml:space="preserve">30% Advance Payment</w:t>
      </w:r>
      <w:r>
        <w:t xml:space="preserve"> </w:t>
      </w:r>
      <w:r>
        <w:t xml:space="preserve">(CNY 4,392,592.50) — Due upon execution of the master service agreement.</w:t>
      </w:r>
    </w:p>
    <w:p>
      <w:pPr>
        <w:numPr>
          <w:ilvl w:val="0"/>
          <w:numId w:val="1001"/>
        </w:numPr>
        <w:pStyle w:val="Compact"/>
      </w:pPr>
      <w:r>
        <w:rPr>
          <w:bCs/>
          <w:b/>
        </w:rPr>
        <w:t xml:space="preserve">40% Milestone Payment</w:t>
      </w:r>
      <w:r>
        <w:t xml:space="preserve"> </w:t>
      </w:r>
      <w:r>
        <w:t xml:space="preserve">(CNY 5,856,790.00) — Due upon completion of hardware installation and network commissioning at all 15 branches in China Shanghai.</w:t>
      </w:r>
    </w:p>
    <w:p>
      <w:pPr>
        <w:numPr>
          <w:ilvl w:val="0"/>
          <w:numId w:val="1001"/>
        </w:numPr>
        <w:pStyle w:val="Compact"/>
      </w:pPr>
      <w:r>
        <w:rPr>
          <w:bCs/>
          <w:b/>
        </w:rPr>
        <w:t xml:space="preserve">20% Acceptance Payment</w:t>
      </w:r>
      <w:r>
        <w:t xml:space="preserve"> </w:t>
      </w:r>
      <w:r>
        <w:t xml:space="preserve">(CNY 2,928,395.00) — Due upon final system acceptance and sign-off by the client's Chief Operations Officer.</w:t>
      </w:r>
    </w:p>
    <w:p>
      <w:pPr>
        <w:numPr>
          <w:ilvl w:val="0"/>
          <w:numId w:val="1001"/>
        </w:numPr>
        <w:pStyle w:val="Compact"/>
      </w:pPr>
      <w:r>
        <w:rPr>
          <w:bCs/>
          <w:b/>
        </w:rPr>
        <w:t xml:space="preserve">10% Retention</w:t>
      </w:r>
      <w:r>
        <w:t xml:space="preserve"> </w:t>
      </w:r>
      <w:r>
        <w:t xml:space="preserve">(CNY 1,464,197.50) — Due twelve (12) months after final acceptance, subject to satisfactory performance of the warranty period.</w:t>
      </w:r>
    </w:p>
    <w:bookmarkEnd w:id="23"/>
    <w:bookmarkStart w:id="24" w:name="terms-and-conditions"/>
    <w:p>
      <w:pPr>
        <w:pStyle w:val="Heading2"/>
      </w:pPr>
      <w:r>
        <w:t xml:space="preserve">5. Terms and Conditions</w:t>
      </w:r>
    </w:p>
    <w:p>
      <w:pPr>
        <w:numPr>
          <w:ilvl w:val="0"/>
          <w:numId w:val="1002"/>
        </w:numPr>
        <w:pStyle w:val="Compact"/>
      </w:pPr>
      <w:r>
        <w:t xml:space="preserve">This Quotation Estimate is a non-binding offer until a formal contract is executed by both parties. The term "Banker" as used throughout this document refers to the designated banking professional and the associated workstation, software, and infrastructure systems that support their operational duties within the client's branch network.</w:t>
      </w:r>
    </w:p>
    <w:p>
      <w:pPr>
        <w:numPr>
          <w:ilvl w:val="0"/>
          <w:numId w:val="1002"/>
        </w:numPr>
        <w:pStyle w:val="Compact"/>
      </w:pPr>
      <w:r>
        <w:t xml:space="preserve">All hardware and software supplied under this estimate shall comply with the cybersecurity standards mandated by the Cybersecurity Law of the People's Republic of China and the Data Security Law effective since 2021.</w:t>
      </w:r>
    </w:p>
    <w:p>
      <w:pPr>
        <w:numPr>
          <w:ilvl w:val="0"/>
          <w:numId w:val="1002"/>
        </w:numPr>
        <w:pStyle w:val="Compact"/>
      </w:pPr>
      <w:r>
        <w:t xml:space="preserve">Meridian Global Banking Solutions Ltd. shall not be liable for delays caused by force majeure events, including but not limited to natural disasters, government regulatory changes in China Shanghai, or pandemics.</w:t>
      </w:r>
    </w:p>
    <w:p>
      <w:pPr>
        <w:numPr>
          <w:ilvl w:val="0"/>
          <w:numId w:val="1002"/>
        </w:numPr>
        <w:pStyle w:val="Compact"/>
      </w:pPr>
      <w:r>
        <w:t xml:space="preserve">Intellectual property rights for all custom-developed software modules remain with the client upon full payment. Meridian retains rights to pre-existing proprietary frameworks.</w:t>
      </w:r>
    </w:p>
    <w:p>
      <w:pPr>
        <w:numPr>
          <w:ilvl w:val="0"/>
          <w:numId w:val="1002"/>
        </w:numPr>
        <w:pStyle w:val="Compact"/>
      </w:pPr>
      <w:r>
        <w:t xml:space="preserve">Warranty period: Twenty-four (24) months from the date of final acceptance for all hardware; twelve (12) months for software bug fixes. The ongoing support contract (Item 8) extends coverage beyond the warranty period.</w:t>
      </w:r>
    </w:p>
    <w:p>
      <w:pPr>
        <w:numPr>
          <w:ilvl w:val="0"/>
          <w:numId w:val="1002"/>
        </w:numPr>
        <w:pStyle w:val="Compact"/>
      </w:pPr>
      <w:r>
        <w:t xml:space="preserve">Disputes arising from this Quotation Estimate or the subsequent contract shall be resolved through arbitration at the Shanghai International Economic and Trade Arbitration Commission (SHIAC) in accordance with its rules of procedure.</w:t>
      </w:r>
    </w:p>
    <w:p>
      <w:pPr>
        <w:numPr>
          <w:ilvl w:val="0"/>
          <w:numId w:val="1002"/>
        </w:numPr>
        <w:pStyle w:val="Compact"/>
      </w:pPr>
      <w:r>
        <w:t xml:space="preserve">This document constitutes the complete and exclusive statement of the Quotation Estimate between the parties and supersedes all prior negotiations, representations, or understandings relating to the Banker services and infrastructure described herein.</w:t>
      </w:r>
    </w:p>
    <w:bookmarkEnd w:id="24"/>
    <w:bookmarkStart w:id="25"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pricing, and conditions set forth for the Banker workstation and digital banking infrastructure project in China Shanghai. This signature does not constitute a binding contract until a formal master service agreement is drafted and executed by both parties' legal counsel.</w:t>
      </w:r>
    </w:p>
    <w:p>
      <w:pPr>
        <w:pStyle w:val="BodyText"/>
      </w:pPr>
      <w:r>
        <w:rPr>
          <w:bCs/>
          <w:b/>
        </w:rPr>
        <w:t xml:space="preserve">For and on behalf of:</w:t>
      </w:r>
      <w:r>
        <w:br/>
      </w:r>
      <w:r>
        <w:t xml:space="preserve">Meridian Global Banking Solutions Ltd.</w:t>
      </w:r>
      <w:r>
        <w:br/>
      </w:r>
      <w:r>
        <w:br/>
      </w:r>
      <w:r>
        <w:t xml:space="preserve">_______________________________</w:t>
      </w:r>
      <w:r>
        <w:br/>
      </w:r>
      <w:r>
        <w:t xml:space="preserve">Name: David Chen</w:t>
      </w:r>
      <w:r>
        <w:br/>
      </w:r>
      <w:r>
        <w:t xml:space="preserve">Title: Director, APAC Banking Solutions</w:t>
      </w:r>
      <w:r>
        <w:br/>
      </w:r>
      <w:r>
        <w:t xml:space="preserve">Date: _______________</w:t>
      </w:r>
    </w:p>
    <w:p>
      <w:pPr>
        <w:pStyle w:val="BodyText"/>
      </w:pPr>
      <w:r>
        <w:rPr>
          <w:bCs/>
          <w:b/>
        </w:rPr>
        <w:t xml:space="preserve">For and on behalf of:</w:t>
      </w:r>
      <w:r>
        <w:br/>
      </w:r>
      <w:r>
        <w:t xml:space="preserve">Shanghai International Commercial Bank Co., Ltd.</w:t>
      </w:r>
      <w:r>
        <w:br/>
      </w:r>
      <w:r>
        <w:br/>
      </w:r>
      <w:r>
        <w:t xml:space="preserve">_______________________________</w:t>
      </w:r>
      <w:r>
        <w:br/>
      </w:r>
      <w:r>
        <w:t xml:space="preserve">Name: Wei Zhang</w:t>
      </w:r>
      <w:r>
        <w:br/>
      </w:r>
      <w:r>
        <w:t xml:space="preserve">Title: Chief Operations Officer</w:t>
      </w:r>
      <w:r>
        <w:br/>
      </w:r>
      <w:r>
        <w:t xml:space="preserve">Date: _______________</w:t>
      </w:r>
    </w:p>
    <w:p>
      <w:pPr>
        <w:pStyle w:val="BodyText"/>
      </w:pPr>
      <w:r>
        <w:rPr>
          <w:bCs/>
          <w:b/>
        </w:rPr>
        <w:t xml:space="preserve">Meridian Global Banking Solutions Ltd.</w:t>
      </w:r>
      <w:r>
        <w:t xml:space="preserve"> </w:t>
      </w:r>
      <w:r>
        <w:t xml:space="preserve">| Unified Social Credit Code: 91310115MA1K4X7B2P | Registered in Shanghai, People's Republic of China</w:t>
      </w:r>
    </w:p>
    <w:p>
      <w:pPr>
        <w:pStyle w:val="BodyText"/>
      </w:pPr>
      <w:r>
        <w:t xml:space="preserve">This Quotation Estimate document is generated electronically and is valid without a physical seal. For verification, contact the issuing office at +86 21 5888 6720. Document ID: QTE-SH-2025-04871 | 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Banking Services - China Shanghai</dc:title>
  <dc:creator/>
  <dc:language>en</dc:language>
  <cp:keywords/>
  <dcterms:created xsi:type="dcterms:W3CDTF">2026-10-10T06:29:53Z</dcterms:created>
  <dcterms:modified xsi:type="dcterms:W3CDTF">2026-10-10T06:29:53Z</dcterms:modified>
</cp:coreProperties>
</file>

<file path=docProps/custom.xml><?xml version="1.0" encoding="utf-8"?>
<Properties xmlns="http://schemas.openxmlformats.org/officeDocument/2006/custom-properties" xmlns:vt="http://schemas.openxmlformats.org/officeDocument/2006/docPropsVTypes"/>
</file>