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Banker Services — Colombia, Bogotá</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QTE-BKR-COL-2025-0472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For:</w:t>
            </w:r>
          </w:p>
        </w:tc>
        <w:tc>
          <w:tcPr/>
          <w:p>
            <w:pPr>
              <w:pStyle w:val="Compact"/>
              <w:jc w:val="left"/>
            </w:pPr>
            <w:r>
              <w:t xml:space="preserve">Client Name / Corporate Entity — Bogotá, Colombia</w:t>
            </w:r>
          </w:p>
        </w:tc>
      </w:tr>
      <w:tr>
        <w:tc>
          <w:tcPr/>
          <w:p>
            <w:pPr>
              <w:pStyle w:val="Compact"/>
              <w:jc w:val="left"/>
            </w:pPr>
            <w:r>
              <w:t xml:space="preserve">Prepared By:</w:t>
            </w:r>
          </w:p>
        </w:tc>
        <w:tc>
          <w:tcPr/>
          <w:p>
            <w:pPr>
              <w:pStyle w:val="Compact"/>
              <w:jc w:val="left"/>
            </w:pPr>
            <w:r>
              <w:t xml:space="preserve">Andrés M. Restrepo, Senior Banker &amp; Financial Advisor</w:t>
            </w:r>
          </w:p>
        </w:tc>
      </w:tr>
      <w:tr>
        <w:tc>
          <w:tcPr/>
          <w:p>
            <w:pPr>
              <w:pStyle w:val="Compact"/>
              <w:jc w:val="left"/>
            </w:pPr>
            <w:r>
              <w:t xml:space="preserve">Firm:</w:t>
            </w:r>
          </w:p>
        </w:tc>
        <w:tc>
          <w:tcPr/>
          <w:p>
            <w:pPr>
              <w:pStyle w:val="Compact"/>
              <w:jc w:val="left"/>
            </w:pPr>
            <w:r>
              <w:t xml:space="preserve">Restrepo &amp; Asociados Banca S.A. — Calle 93 #15-40, Bogotá, Colombia</w:t>
            </w:r>
          </w:p>
        </w:tc>
      </w:tr>
      <w:tr>
        <w:tc>
          <w:tcPr/>
          <w:p>
            <w:pPr>
              <w:pStyle w:val="Compact"/>
              <w:jc w:val="left"/>
            </w:pPr>
            <w:r>
              <w:t xml:space="preserve">Currency:</w:t>
            </w:r>
          </w:p>
        </w:tc>
        <w:tc>
          <w:tcPr/>
          <w:p>
            <w:pPr>
              <w:pStyle w:val="Compact"/>
              <w:jc w:val="left"/>
            </w:pPr>
            <w:r>
              <w:t xml:space="preserve">Colombian Peso (COP) / US Dollar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itemized breakdown of professional fees, service charges, and associated costs for the engagement of a qualified</w:t>
      </w:r>
      <w:r>
        <w:t xml:space="preserve"> </w:t>
      </w:r>
      <w:r>
        <w:t xml:space="preserve">Banker</w:t>
      </w:r>
      <w:r>
        <w:t xml:space="preserve"> </w:t>
      </w:r>
      <w:r>
        <w:t xml:space="preserve">to deliver advisory, transactional, and operational banking services within the jurisdiction of</w:t>
      </w:r>
      <w:r>
        <w:t xml:space="preserve"> </w:t>
      </w:r>
      <w:r>
        <w:t xml:space="preserve">Colombia, Bogotá</w:t>
      </w:r>
      <w:r>
        <w:t xml:space="preserve">. The present document serves as a binding financial proposal and shall remain in effect for the validity period stated above unless otherwise amended in writing by both parties.</w:t>
      </w:r>
    </w:p>
    <w:p>
      <w:pPr>
        <w:pStyle w:val="BodyText"/>
      </w:pPr>
      <w:r>
        <w:t xml:space="preserve">The</w:t>
      </w:r>
      <w:r>
        <w:t xml:space="preserve"> </w:t>
      </w:r>
      <w:r>
        <w:t xml:space="preserve">Banker</w:t>
      </w:r>
      <w:r>
        <w:t xml:space="preserve"> </w:t>
      </w:r>
      <w:r>
        <w:t xml:space="preserve">engagement described herein is tailored to the regulatory framework established by the Superintendencia Financiera de Colombia (SFC) and complies with all applicable banking regulations, anti-money laundering directives (Ley 1333 de 2009), and the tax obligations governed by the Estatuto Tributario vigente in the city of Bogotá and the broader Colombian financial system.</w:t>
      </w:r>
    </w:p>
    <w:bookmarkEnd w:id="21"/>
    <w:bookmarkStart w:id="22" w:name="description-of-banker-services"/>
    <w:p>
      <w:pPr>
        <w:pStyle w:val="Heading2"/>
      </w:pPr>
      <w:r>
        <w:t xml:space="preserve">2. Description of Banker Services</w:t>
      </w:r>
    </w:p>
    <w:p>
      <w:pPr>
        <w:pStyle w:val="FirstParagraph"/>
      </w:pPr>
      <w:r>
        <w:t xml:space="preserve">The</w:t>
      </w:r>
      <w:r>
        <w:t xml:space="preserve"> </w:t>
      </w:r>
      <w:r>
        <w:t xml:space="preserve">Banker</w:t>
      </w:r>
      <w:r>
        <w:t xml:space="preserve"> </w:t>
      </w:r>
      <w:r>
        <w:t xml:space="preserve">engaged under this</w:t>
      </w:r>
      <w:r>
        <w:t xml:space="preserve"> </w:t>
      </w:r>
      <w:r>
        <w:t xml:space="preserve">Quotation Estimate</w:t>
      </w:r>
      <w:r>
        <w:t xml:space="preserve"> </w:t>
      </w:r>
      <w:r>
        <w:t xml:space="preserve">shall provide the following professional services to the client, all to be executed in or on behalf of the client's operations in</w:t>
      </w:r>
      <w:r>
        <w:t xml:space="preserve"> </w:t>
      </w:r>
      <w:r>
        <w:t xml:space="preserve">Colombia, Bogotá</w:t>
      </w:r>
      <w:r>
        <w:t xml:space="preserve">:</w:t>
      </w:r>
    </w:p>
    <w:p>
      <w:pPr>
        <w:numPr>
          <w:ilvl w:val="0"/>
          <w:numId w:val="1001"/>
        </w:numPr>
        <w:pStyle w:val="Compact"/>
      </w:pPr>
      <w:r>
        <w:rPr>
          <w:bCs/>
          <w:b/>
        </w:rPr>
        <w:t xml:space="preserve">Corporate Banking Advisory:</w:t>
      </w:r>
      <w:r>
        <w:t xml:space="preserve"> </w:t>
      </w:r>
      <w:r>
        <w:t xml:space="preserve">Structuring of credit facilities, trade finance instruments, and working capital solutions compliant with Colombian banking regulations.</w:t>
      </w:r>
    </w:p>
    <w:p>
      <w:pPr>
        <w:numPr>
          <w:ilvl w:val="0"/>
          <w:numId w:val="1001"/>
        </w:numPr>
        <w:pStyle w:val="Compact"/>
      </w:pPr>
      <w:r>
        <w:rPr>
          <w:bCs/>
          <w:b/>
        </w:rPr>
        <w:t xml:space="preserve">Transaction Execution:</w:t>
      </w:r>
      <w:r>
        <w:t xml:space="preserve"> </w:t>
      </w:r>
      <w:r>
        <w:t xml:space="preserve">Facilitation of domestic and international wire transfers, letter of credit issuance, and documentary collections through authorized Colombian banking institutions headquartered in Bogotá.</w:t>
      </w:r>
    </w:p>
    <w:p>
      <w:pPr>
        <w:numPr>
          <w:ilvl w:val="0"/>
          <w:numId w:val="1001"/>
        </w:numPr>
        <w:pStyle w:val="Compact"/>
      </w:pPr>
      <w:r>
        <w:rPr>
          <w:bCs/>
          <w:b/>
        </w:rPr>
        <w:t xml:space="preserve">Regulatory Compliance &amp; Reporting:</w:t>
      </w:r>
      <w:r>
        <w:t xml:space="preserve"> </w:t>
      </w:r>
      <w:r>
        <w:t xml:space="preserve">Preparation and submission of mandatory reports to the Superintendencia Financiera de Colombia, including but not limited to Formulario 1010 and periodic financial disclosures.</w:t>
      </w:r>
    </w:p>
    <w:p>
      <w:pPr>
        <w:numPr>
          <w:ilvl w:val="0"/>
          <w:numId w:val="1001"/>
        </w:numPr>
        <w:pStyle w:val="Compact"/>
      </w:pPr>
      <w:r>
        <w:rPr>
          <w:bCs/>
          <w:b/>
        </w:rPr>
        <w:t xml:space="preserve">Portfolio &amp; Treasury Management:</w:t>
      </w:r>
      <w:r>
        <w:t xml:space="preserve"> </w:t>
      </w:r>
      <w:r>
        <w:t xml:space="preserve">Optimization of the client's liquidity position, foreign exchange hedging strategies, and investment allocation within the Colombian financial market.</w:t>
      </w:r>
    </w:p>
    <w:p>
      <w:pPr>
        <w:numPr>
          <w:ilvl w:val="0"/>
          <w:numId w:val="1001"/>
        </w:numPr>
        <w:pStyle w:val="Compact"/>
      </w:pPr>
      <w:r>
        <w:rPr>
          <w:bCs/>
          <w:b/>
        </w:rPr>
        <w:t xml:space="preserve">On-Site Consultation in Bogotá:</w:t>
      </w:r>
      <w:r>
        <w:t xml:space="preserve"> </w:t>
      </w:r>
      <w:r>
        <w:t xml:space="preserve">A minimum of four (4) in-person meetings per month at the client's premises in Bogotá, Colombia, or at the Banker's office located in the financial district of the city.</w:t>
      </w:r>
    </w:p>
    <w:p>
      <w:pPr>
        <w:numPr>
          <w:ilvl w:val="0"/>
          <w:numId w:val="1001"/>
        </w:numPr>
        <w:pStyle w:val="Compact"/>
      </w:pPr>
      <w:r>
        <w:rPr>
          <w:bCs/>
          <w:b/>
        </w:rPr>
        <w:t xml:space="preserve">Emergency Banking Support:</w:t>
      </w:r>
      <w:r>
        <w:t xml:space="preserve"> </w:t>
      </w:r>
      <w:r>
        <w:t xml:space="preserve">Availability for urgent banking matters, including account freezes, dispute resolution with Colombian banks, and expedited regulatory filings, on a 24/7 basis.</w:t>
      </w:r>
    </w:p>
    <w:bookmarkEnd w:id="22"/>
    <w:bookmarkStart w:id="23" w:name="itemized-fee-schedule"/>
    <w:p>
      <w:pPr>
        <w:pStyle w:val="Heading2"/>
      </w:pPr>
      <w:r>
        <w:t xml:space="preserve">3. Itemized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Fee (COP)</w:t>
            </w:r>
          </w:p>
        </w:tc>
        <w:tc>
          <w:tcPr/>
          <w:p>
            <w:pPr>
              <w:pStyle w:val="Compact"/>
              <w:jc w:val="left"/>
            </w:pPr>
            <w:r>
              <w:t xml:space="preserve">Fee (USD Approx.)</w:t>
            </w:r>
          </w:p>
        </w:tc>
      </w:tr>
      <w:tr>
        <w:tc>
          <w:tcPr/>
          <w:p>
            <w:pPr>
              <w:pStyle w:val="Compact"/>
              <w:jc w:val="left"/>
            </w:pPr>
            <w:r>
              <w:t xml:space="preserve">3.1</w:t>
            </w:r>
          </w:p>
        </w:tc>
        <w:tc>
          <w:tcPr/>
          <w:p>
            <w:pPr>
              <w:pStyle w:val="Compact"/>
              <w:jc w:val="left"/>
            </w:pPr>
            <w:r>
              <w:t xml:space="preserve">Monthly Retainer — Banker Advisory Services</w:t>
            </w:r>
          </w:p>
        </w:tc>
        <w:tc>
          <w:tcPr/>
          <w:p>
            <w:pPr>
              <w:pStyle w:val="Compact"/>
              <w:jc w:val="left"/>
            </w:pPr>
            <w:r>
              <w:t xml:space="preserve">Monthly</w:t>
            </w:r>
          </w:p>
        </w:tc>
        <w:tc>
          <w:tcPr/>
          <w:p>
            <w:pPr>
              <w:pStyle w:val="Compact"/>
              <w:jc w:val="left"/>
            </w:pPr>
            <w:r>
              <w:t xml:space="preserve">18,500,000</w:t>
            </w:r>
          </w:p>
        </w:tc>
        <w:tc>
          <w:tcPr/>
          <w:p>
            <w:pPr>
              <w:pStyle w:val="Compact"/>
              <w:jc w:val="left"/>
            </w:pPr>
            <w:r>
              <w:t xml:space="preserve">$4,625</w:t>
            </w:r>
          </w:p>
        </w:tc>
      </w:tr>
      <w:tr>
        <w:tc>
          <w:tcPr/>
          <w:p>
            <w:pPr>
              <w:pStyle w:val="Compact"/>
              <w:jc w:val="left"/>
            </w:pPr>
            <w:r>
              <w:t xml:space="preserve">3.2</w:t>
            </w:r>
          </w:p>
        </w:tc>
        <w:tc>
          <w:tcPr/>
          <w:p>
            <w:pPr>
              <w:pStyle w:val="Compact"/>
              <w:jc w:val="left"/>
            </w:pPr>
            <w:r>
              <w:t xml:space="preserve">Transaction Execution Fee (per operation)</w:t>
            </w:r>
          </w:p>
        </w:tc>
        <w:tc>
          <w:tcPr/>
          <w:p>
            <w:pPr>
              <w:pStyle w:val="Compact"/>
              <w:jc w:val="left"/>
            </w:pPr>
            <w:r>
              <w:t xml:space="preserve">Per transaction</w:t>
            </w:r>
          </w:p>
        </w:tc>
        <w:tc>
          <w:tcPr/>
          <w:p>
            <w:pPr>
              <w:pStyle w:val="Compact"/>
              <w:jc w:val="left"/>
            </w:pPr>
            <w:r>
              <w:t xml:space="preserve">850,000</w:t>
            </w:r>
          </w:p>
        </w:tc>
        <w:tc>
          <w:tcPr/>
          <w:p>
            <w:pPr>
              <w:pStyle w:val="Compact"/>
              <w:jc w:val="left"/>
            </w:pPr>
            <w:r>
              <w:t xml:space="preserve">$212</w:t>
            </w:r>
          </w:p>
        </w:tc>
      </w:tr>
      <w:tr>
        <w:tc>
          <w:tcPr/>
          <w:p>
            <w:pPr>
              <w:pStyle w:val="Compact"/>
              <w:jc w:val="left"/>
            </w:pPr>
            <w:r>
              <w:t xml:space="preserve">3.3</w:t>
            </w:r>
          </w:p>
        </w:tc>
        <w:tc>
          <w:tcPr/>
          <w:p>
            <w:pPr>
              <w:pStyle w:val="Compact"/>
              <w:jc w:val="left"/>
            </w:pPr>
            <w:r>
              <w:t xml:space="preserve">Regulatory Compliance &amp; SFC Filing</w:t>
            </w:r>
          </w:p>
        </w:tc>
        <w:tc>
          <w:tcPr/>
          <w:p>
            <w:pPr>
              <w:pStyle w:val="Compact"/>
              <w:jc w:val="left"/>
            </w:pPr>
            <w:r>
              <w:t xml:space="preserve">Quarterly</w:t>
            </w:r>
          </w:p>
        </w:tc>
        <w:tc>
          <w:tcPr/>
          <w:p>
            <w:pPr>
              <w:pStyle w:val="Compact"/>
              <w:jc w:val="left"/>
            </w:pPr>
            <w:r>
              <w:t xml:space="preserve">4,200,000</w:t>
            </w:r>
          </w:p>
        </w:tc>
        <w:tc>
          <w:tcPr/>
          <w:p>
            <w:pPr>
              <w:pStyle w:val="Compact"/>
              <w:jc w:val="left"/>
            </w:pPr>
            <w:r>
              <w:t xml:space="preserve">$1,050</w:t>
            </w:r>
          </w:p>
        </w:tc>
      </w:tr>
      <w:tr>
        <w:tc>
          <w:tcPr/>
          <w:p>
            <w:pPr>
              <w:pStyle w:val="Compact"/>
              <w:jc w:val="left"/>
            </w:pPr>
            <w:r>
              <w:t xml:space="preserve">3.4</w:t>
            </w:r>
          </w:p>
        </w:tc>
        <w:tc>
          <w:tcPr/>
          <w:p>
            <w:pPr>
              <w:pStyle w:val="Compact"/>
              <w:jc w:val="left"/>
            </w:pPr>
            <w:r>
              <w:t xml:space="preserve">On-Site Consultation (Bogotá office visits)</w:t>
            </w:r>
          </w:p>
        </w:tc>
        <w:tc>
          <w:tcPr/>
          <w:p>
            <w:pPr>
              <w:pStyle w:val="Compact"/>
              <w:jc w:val="left"/>
            </w:pPr>
            <w:r>
              <w:t xml:space="preserve">Per visit (max 4/month)</w:t>
            </w:r>
          </w:p>
        </w:tc>
        <w:tc>
          <w:tcPr/>
          <w:p>
            <w:pPr>
              <w:pStyle w:val="Compact"/>
              <w:jc w:val="left"/>
            </w:pPr>
            <w:r>
              <w:t xml:space="preserve">1,200,000</w:t>
            </w:r>
          </w:p>
        </w:tc>
        <w:tc>
          <w:tcPr/>
          <w:p>
            <w:pPr>
              <w:pStyle w:val="Compact"/>
              <w:jc w:val="left"/>
            </w:pPr>
            <w:r>
              <w:t xml:space="preserve">$300</w:t>
            </w:r>
          </w:p>
        </w:tc>
      </w:tr>
      <w:tr>
        <w:tc>
          <w:tcPr/>
          <w:p>
            <w:pPr>
              <w:pStyle w:val="Compact"/>
              <w:jc w:val="left"/>
            </w:pPr>
            <w:r>
              <w:t xml:space="preserve">3.5</w:t>
            </w:r>
          </w:p>
        </w:tc>
        <w:tc>
          <w:tcPr/>
          <w:p>
            <w:pPr>
              <w:pStyle w:val="Compact"/>
              <w:jc w:val="left"/>
            </w:pPr>
            <w:r>
              <w:t xml:space="preserve">Emergency Banking Support (after-hours)</w:t>
            </w:r>
          </w:p>
        </w:tc>
        <w:tc>
          <w:tcPr/>
          <w:p>
            <w:pPr>
              <w:pStyle w:val="Compact"/>
              <w:jc w:val="left"/>
            </w:pPr>
            <w:r>
              <w:t xml:space="preserve">Per incident</w:t>
            </w:r>
          </w:p>
        </w:tc>
        <w:tc>
          <w:tcPr/>
          <w:p>
            <w:pPr>
              <w:pStyle w:val="Compact"/>
              <w:jc w:val="left"/>
            </w:pPr>
            <w:r>
              <w:t xml:space="preserve">2,500,000</w:t>
            </w:r>
          </w:p>
        </w:tc>
        <w:tc>
          <w:tcPr/>
          <w:p>
            <w:pPr>
              <w:pStyle w:val="Compact"/>
              <w:jc w:val="left"/>
            </w:pPr>
            <w:r>
              <w:t xml:space="preserve">$625</w:t>
            </w:r>
          </w:p>
        </w:tc>
      </w:tr>
      <w:tr>
        <w:tc>
          <w:tcPr/>
          <w:p>
            <w:pPr>
              <w:pStyle w:val="Compact"/>
              <w:jc w:val="left"/>
            </w:pPr>
            <w:r>
              <w:t xml:space="preserve">3.6</w:t>
            </w:r>
          </w:p>
        </w:tc>
        <w:tc>
          <w:tcPr/>
          <w:p>
            <w:pPr>
              <w:pStyle w:val="Compact"/>
              <w:jc w:val="left"/>
            </w:pPr>
            <w:r>
              <w:t xml:space="preserve">Foreign Exchange Hedging Advisory</w:t>
            </w:r>
          </w:p>
        </w:tc>
        <w:tc>
          <w:tcPr/>
          <w:p>
            <w:pPr>
              <w:pStyle w:val="Compact"/>
              <w:jc w:val="left"/>
            </w:pPr>
            <w:r>
              <w:t xml:space="preserve">Per strategy</w:t>
            </w:r>
          </w:p>
        </w:tc>
        <w:tc>
          <w:tcPr/>
          <w:p>
            <w:pPr>
              <w:pStyle w:val="Compact"/>
              <w:jc w:val="left"/>
            </w:pPr>
            <w:r>
              <w:t xml:space="preserve">3,800,000</w:t>
            </w:r>
          </w:p>
        </w:tc>
        <w:tc>
          <w:tcPr/>
          <w:p>
            <w:pPr>
              <w:pStyle w:val="Compact"/>
              <w:jc w:val="left"/>
            </w:pPr>
            <w:r>
              <w:t xml:space="preserve">$950</w:t>
            </w:r>
          </w:p>
        </w:tc>
      </w:tr>
      <w:tr>
        <w:tc>
          <w:tcPr/>
          <w:p>
            <w:pPr>
              <w:pStyle w:val="Compact"/>
              <w:jc w:val="left"/>
            </w:pPr>
            <w:r>
              <w:t xml:space="preserve">3.7</w:t>
            </w:r>
          </w:p>
        </w:tc>
        <w:tc>
          <w:tcPr/>
          <w:p>
            <w:pPr>
              <w:pStyle w:val="Compact"/>
              <w:jc w:val="left"/>
            </w:pPr>
            <w:r>
              <w:t xml:space="preserve">Annual Comprehensive Banking Review (Bogotá)</w:t>
            </w:r>
          </w:p>
        </w:tc>
        <w:tc>
          <w:tcPr/>
          <w:p>
            <w:pPr>
              <w:pStyle w:val="Compact"/>
              <w:jc w:val="left"/>
            </w:pPr>
            <w:r>
              <w:t xml:space="preserve">Annual</w:t>
            </w:r>
          </w:p>
        </w:tc>
        <w:tc>
          <w:tcPr/>
          <w:p>
            <w:pPr>
              <w:pStyle w:val="Compact"/>
              <w:jc w:val="left"/>
            </w:pPr>
            <w:r>
              <w:t xml:space="preserve">12,000,000</w:t>
            </w:r>
          </w:p>
        </w:tc>
        <w:tc>
          <w:tcPr/>
          <w:p>
            <w:pPr>
              <w:pStyle w:val="Compact"/>
              <w:jc w:val="left"/>
            </w:pPr>
            <w:r>
              <w:t xml:space="preserve">$3,000</w:t>
            </w:r>
          </w:p>
        </w:tc>
      </w:tr>
      <w:tr>
        <w:tc>
          <w:tcPr>
            <w:gridSpan w:val="3"/>
          </w:tcPr>
          <w:p>
            <w:pPr>
              <w:pStyle w:val="Compact"/>
              <w:jc w:val="left"/>
            </w:pPr>
            <w:r>
              <w:t xml:space="preserve">Estimated Monthly Total (Items 3.1 – 3.4)</w:t>
            </w:r>
          </w:p>
        </w:tc>
        <w:tc>
          <w:tcPr/>
          <w:p>
            <w:pPr>
              <w:pStyle w:val="Compact"/>
              <w:jc w:val="left"/>
            </w:pPr>
            <w:r>
              <w:t xml:space="preserve">23,500,000</w:t>
            </w:r>
          </w:p>
        </w:tc>
        <w:tc>
          <w:tcPr/>
          <w:p>
            <w:pPr>
              <w:pStyle w:val="Compact"/>
              <w:jc w:val="left"/>
            </w:pPr>
            <w:r>
              <w:t xml:space="preserve">$5,875</w:t>
            </w:r>
          </w:p>
        </w:tc>
      </w:tr>
    </w:tbl>
    <w:p>
      <w:pPr>
        <w:pStyle w:val="BodyText"/>
      </w:pPr>
      <w:r>
        <w:rPr>
          <w:iCs/>
          <w:i/>
        </w:rPr>
        <w:t xml:space="preserve">Note: All fees are exclusive of Value Added Tax (IVA) at the current Colombian rate of 19%, unless otherwise stated. USD conversions are indicative based on the exchange rate published by the Banco de la República de Colombia on the date of this Quotation Estimate.</w:t>
      </w:r>
    </w:p>
    <w:bookmarkEnd w:id="23"/>
    <w:bookmarkStart w:id="24" w:name="payment-terms-and-conditions"/>
    <w:p>
      <w:pPr>
        <w:pStyle w:val="Heading2"/>
      </w:pPr>
      <w:r>
        <w:t xml:space="preserve">4. Payment Terms and Conditions</w:t>
      </w:r>
    </w:p>
    <w:p>
      <w:pPr>
        <w:pStyle w:val="FirstParagraph"/>
      </w:pPr>
      <w:r>
        <w:rPr>
          <w:bCs/>
          <w:b/>
        </w:rPr>
        <w:t xml:space="preserve">Payment Schedule:</w:t>
      </w:r>
      <w:r>
        <w:t xml:space="preserve"> </w:t>
      </w:r>
      <w:r>
        <w:t xml:space="preserve">The monthly retainer (Item 3.1) shall be invoiced on the first business day of each month and is due within fifteen (15) calendar days of invoice date. Per-transaction and per-visit fees (Items 3.2, 3.4, 3.5, 3.6) shall be invoiced within five (5) business days of service delivery and are due within ten (10) calendar days.</w:t>
      </w:r>
    </w:p>
    <w:p>
      <w:pPr>
        <w:pStyle w:val="BodyText"/>
      </w:pPr>
      <w:r>
        <w:rPr>
          <w:bCs/>
          <w:b/>
        </w:rPr>
        <w:t xml:space="preserve">Payment Method:</w:t>
      </w:r>
      <w:r>
        <w:t xml:space="preserve"> </w:t>
      </w:r>
      <w:r>
        <w:t xml:space="preserve">All payments shall be made via electronic bank transfer (EFT) to the designated account of Restrepo &amp; Asociados Banca S.A. at Banco de Bogotá, Colombia, or via wire transfer in USD to the firm's international account. No cash payments shall be accepted in accordance with Colombian anti-corruption regulations.</w:t>
      </w:r>
    </w:p>
    <w:p>
      <w:pPr>
        <w:pStyle w:val="BodyText"/>
      </w:pPr>
      <w:r>
        <w:rPr>
          <w:bCs/>
          <w:b/>
        </w:rPr>
        <w:t xml:space="preserve">Late Payment:</w:t>
      </w:r>
      <w:r>
        <w:t xml:space="preserve"> </w:t>
      </w:r>
      <w:r>
        <w:t xml:space="preserve">Overdue amounts shall accrue interest at the maximum rate permitted by Colombian law (currently the tasa de usura máxima) as published monthly by the Superintendencia Financiera de Colombia.</w:t>
      </w:r>
    </w:p>
    <w:bookmarkEnd w:id="24"/>
    <w:bookmarkStart w:id="25"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assumes that the client will provide all necessary documentation, corporate resolutions, and regulatory authorizations in a timely manner. The following are explicitly excluded from the quoted fees:</w:t>
      </w:r>
    </w:p>
    <w:p>
      <w:pPr>
        <w:numPr>
          <w:ilvl w:val="0"/>
          <w:numId w:val="1002"/>
        </w:numPr>
        <w:pStyle w:val="Compact"/>
      </w:pPr>
      <w:r>
        <w:t xml:space="preserve">Third-party bank charges, wire transfer fees, and correspondent banking costs levied by financial institutions in Colombia or abroad.</w:t>
      </w:r>
    </w:p>
    <w:p>
      <w:pPr>
        <w:numPr>
          <w:ilvl w:val="0"/>
          <w:numId w:val="1002"/>
        </w:numPr>
        <w:pStyle w:val="Compact"/>
      </w:pPr>
      <w:r>
        <w:t xml:space="preserve">Legal fees for litigation or arbitration proceedings, which shall be quoted separately by independent Colombian legal counsel in Bogotá.</w:t>
      </w:r>
    </w:p>
    <w:p>
      <w:pPr>
        <w:numPr>
          <w:ilvl w:val="0"/>
          <w:numId w:val="1002"/>
        </w:numPr>
        <w:pStyle w:val="Compact"/>
      </w:pPr>
      <w:r>
        <w:t xml:space="preserve">Travel expenses beyond the city limits of Bogotá should the Banker be required to attend sites in other Colombian departments.</w:t>
      </w:r>
    </w:p>
    <w:p>
      <w:pPr>
        <w:numPr>
          <w:ilvl w:val="0"/>
          <w:numId w:val="1002"/>
        </w:numPr>
        <w:pStyle w:val="Compact"/>
      </w:pPr>
      <w:r>
        <w:t xml:space="preserve">Any services arising from force majeure events, including but not limited to natural disasters, government-mandated banking closures, or systemic financial crises in Colombia.</w:t>
      </w:r>
    </w:p>
    <w:bookmarkEnd w:id="25"/>
    <w:bookmarkStart w:id="26" w:name="acceptance-and-validity"/>
    <w:p>
      <w:pPr>
        <w:pStyle w:val="Heading2"/>
      </w:pPr>
      <w:r>
        <w:t xml:space="preserve">6. Acceptance and Validity</w:t>
      </w:r>
    </w:p>
    <w:p>
      <w:pPr>
        <w:pStyle w:val="FirstParagraph"/>
      </w:pPr>
      <w:r>
        <w:t xml:space="preserve">This</w:t>
      </w:r>
      <w:r>
        <w:t xml:space="preserve"> </w:t>
      </w:r>
      <w:r>
        <w:t xml:space="preserve">Quotation Estimate</w:t>
      </w:r>
      <w:r>
        <w:t xml:space="preserve"> </w:t>
      </w:r>
      <w:r>
        <w:t xml:space="preserve">constitutes a formal offer for the engagement of the</w:t>
      </w:r>
      <w:r>
        <w:t xml:space="preserve"> </w:t>
      </w:r>
      <w:r>
        <w:t xml:space="preserve">Banker</w:t>
      </w:r>
      <w:r>
        <w:t xml:space="preserve"> </w:t>
      </w:r>
      <w:r>
        <w:t xml:space="preserve">services described herein for use in</w:t>
      </w:r>
      <w:r>
        <w:t xml:space="preserve"> </w:t>
      </w:r>
      <w:r>
        <w:t xml:space="preserve">Colombia, Bogotá</w:t>
      </w:r>
      <w:r>
        <w:t xml:space="preserve">. Acceptance shall be effected by the client's authorized signatory executing the acceptance clause below and returning a signed copy to the firm within the validity period. Upon acceptance, this document shall form part of the definitive Service Agreement between the parties and shall be governed by the commercial laws of the Republic of Colombia, with jurisdiction vested in the commercial courts of Bogotá, D.C.</w:t>
      </w:r>
    </w:p>
    <w:p>
      <w:pPr>
        <w:pStyle w:val="BodyText"/>
      </w:pPr>
      <w:r>
        <w:rPr>
          <w:bCs/>
          <w:b/>
        </w:rPr>
        <w:t xml:space="preserve">For and on behalf of the Banker / Firm:</w:t>
      </w:r>
    </w:p>
    <w:p>
      <w:pPr>
        <w:pStyle w:val="BodyText"/>
      </w:pPr>
      <w:r>
        <w:t xml:space="preserve">Andrés M. Restrepo</w:t>
      </w:r>
      <w:r>
        <w:br/>
      </w:r>
      <w:r>
        <w:t xml:space="preserve">Senior Banker &amp; Financial Advisor</w:t>
      </w:r>
      <w:r>
        <w:br/>
      </w:r>
      <w:r>
        <w:t xml:space="preserve">Restrepo &amp; Asociados Banca S.A.</w:t>
      </w:r>
      <w:r>
        <w:br/>
      </w:r>
      <w:r>
        <w:t xml:space="preserve">Bogotá, Colombia</w:t>
      </w:r>
    </w:p>
    <w:p>
      <w:pPr>
        <w:pStyle w:val="BodyText"/>
      </w:pPr>
      <w:r>
        <w:rPr>
          <w:bCs/>
          <w:b/>
        </w:rPr>
        <w:t xml:space="preserve">Accepted by the Client:</w:t>
      </w:r>
    </w:p>
    <w:p>
      <w:pPr>
        <w:pStyle w:val="BodyText"/>
      </w:pPr>
      <w:r>
        <w:t xml:space="preserve">Name / Title</w:t>
      </w:r>
      <w:r>
        <w:br/>
      </w:r>
      <w:r>
        <w:t xml:space="preserve">Company Name</w:t>
      </w:r>
      <w:r>
        <w:br/>
      </w:r>
      <w:r>
        <w:t xml:space="preserve">Bogotá, Colombia</w:t>
      </w:r>
      <w:r>
        <w:br/>
      </w:r>
      <w:r>
        <w:t xml:space="preserve">Date: _______________</w:t>
      </w:r>
    </w:p>
    <w:p>
      <w:pPr>
        <w:pStyle w:val="BodyText"/>
      </w:pPr>
      <w:r>
        <w:t xml:space="preserve">Quotation Estimate No. QTE-BKR-COL-2025-0472 — Issued for Banker Services in Colombia, Bogotá — Page 1 of 1</w:t>
      </w:r>
    </w:p>
    <w:p>
      <w:pPr>
        <w:pStyle w:val="BodyText"/>
      </w:pPr>
      <w:r>
        <w:t xml:space="preserve">Restrepo &amp; Asociados Banca S.A. | NIT: 900.123.456-7 | Calle 93 #15-40, Bogotá, Colombia | Tel: +57 (601) 234 5678 | email: quotations@restrepobanca.co</w:t>
      </w:r>
    </w:p>
    <w:p>
      <w:pPr>
        <w:pStyle w:val="BodyText"/>
      </w:pPr>
      <w:r>
        <w:t xml:space="preserve">This document is confidential and intended solely for the named recipient. Unauthorized reproduction or distribution is prohibited under Colombian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Colombia Bogotá</dc:title>
  <dc:creator/>
  <dc:language>en</dc:language>
  <cp:keywords/>
  <dcterms:created xsi:type="dcterms:W3CDTF">2026-10-10T07:06:04Z</dcterms:created>
  <dcterms:modified xsi:type="dcterms:W3CDTF">2026-10-10T07:06:04Z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