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Banker Services &amp; Financial Advisory</w:t>
      </w:r>
    </w:p>
    <w:p>
      <w:pPr>
        <w:pStyle w:val="BodyText"/>
      </w:pPr>
      <w:r>
        <w:t xml:space="preserve">Document Reference: QE-BA-2025-0471 | Issued in Egypt Alexandria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QE-BA-2025-0471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Egyptian Pound (EGP) / US Dollar (USD)</w:t>
            </w:r>
          </w:p>
        </w:tc>
      </w:tr>
      <w:tr>
        <w:tc>
          <w:tcPr/>
          <w:p>
            <w:pPr>
              <w:pStyle w:val="Compact"/>
              <w:jc w:val="left"/>
            </w:pPr>
            <w:r>
              <w:t xml:space="preserve">Service Location</w:t>
            </w:r>
          </w:p>
        </w:tc>
        <w:tc>
          <w:tcPr>
            <w:gridSpan w:val="3"/>
          </w:tcPr>
          <w:p>
            <w:pPr>
              <w:pStyle w:val="Compact"/>
              <w:jc w:val="left"/>
            </w:pPr>
            <w:r>
              <w:t xml:space="preserve">Alexandria, Egypt – Corniche Road, Smouha District, 21542</w:t>
            </w:r>
          </w:p>
        </w:tc>
      </w:tr>
      <w:tr>
        <w:tc>
          <w:tcPr/>
          <w:p>
            <w:pPr>
              <w:pStyle w:val="Compact"/>
              <w:jc w:val="left"/>
            </w:pPr>
            <w:r>
              <w:t xml:space="preserve">Prepared By</w:t>
            </w:r>
          </w:p>
        </w:tc>
        <w:tc>
          <w:tcPr/>
          <w:p>
            <w:pPr>
              <w:pStyle w:val="Compact"/>
              <w:jc w:val="left"/>
            </w:pPr>
            <w:r>
              <w:t xml:space="preserve">Alexandria Financial Advisory Group (AFAG)</w:t>
            </w:r>
          </w:p>
        </w:tc>
        <w:tc>
          <w:tcPr/>
          <w:p>
            <w:pPr>
              <w:pStyle w:val="Compact"/>
              <w:jc w:val="left"/>
            </w:pPr>
            <w:r>
              <w:t xml:space="preserve">Contact</w:t>
            </w:r>
          </w:p>
        </w:tc>
        <w:tc>
          <w:tcPr/>
          <w:p>
            <w:pPr>
              <w:pStyle w:val="Compact"/>
              <w:jc w:val="left"/>
            </w:pPr>
            <w:r>
              <w:t xml:space="preserve">banker.services@afag-alex.com | +20 3 555 0142</w:t>
            </w:r>
          </w:p>
        </w:tc>
      </w:tr>
      <w:tr>
        <w:tc>
          <w:tcPr/>
          <w:p>
            <w:pPr>
              <w:pStyle w:val="Compact"/>
              <w:jc w:val="left"/>
            </w:pPr>
            <w:r>
              <w:t xml:space="preserve">Prepared For</w:t>
            </w:r>
          </w:p>
        </w:tc>
        <w:tc>
          <w:tcPr>
            <w:gridSpan w:val="3"/>
          </w:tcPr>
          <w:p>
            <w:pPr>
              <w:pStyle w:val="Compact"/>
              <w:jc w:val="left"/>
            </w:pPr>
            <w:r>
              <w:t xml:space="preserve">[Client Name / Company Name], [Client Address], Alexandria, Egypt</w:t>
            </w:r>
          </w:p>
        </w:tc>
      </w:tr>
    </w:tbl>
    <w:bookmarkStart w:id="21" w:name="X82b72c5429a11b91e92e6f27be0dc4522bdfacf"/>
    <w:p>
      <w:pPr>
        <w:pStyle w:val="Heading2"/>
      </w:pPr>
      <w:r>
        <w:t xml:space="preserve">1. Scope of Banker Services in Egypt Alexandria</w:t>
      </w:r>
    </w:p>
    <w:p>
      <w:pPr>
        <w:pStyle w:val="FirstParagraph"/>
      </w:pPr>
      <w:r>
        <w:t xml:space="preserve">This Quotation Estimate is issued by Alexandria Financial Advisory Group (AFAG) to provide a comprehensive and itemized cost breakdown for the engagement of a professional</w:t>
      </w:r>
      <w:r>
        <w:t xml:space="preserve"> </w:t>
      </w:r>
      <w:r>
        <w:rPr>
          <w:bCs/>
          <w:b/>
        </w:rPr>
        <w:t xml:space="preserve">Banker</w:t>
      </w:r>
      <w:r>
        <w:t xml:space="preserve"> </w:t>
      </w:r>
      <w:r>
        <w:t xml:space="preserve">and associated financial advisory services to be delivered within the city of</w:t>
      </w:r>
      <w:r>
        <w:t xml:space="preserve"> </w:t>
      </w:r>
      <w:r>
        <w:rPr>
          <w:bCs/>
          <w:b/>
        </w:rPr>
        <w:t xml:space="preserve">Egypt Alexandria</w:t>
      </w:r>
      <w:r>
        <w:t xml:space="preserve">. The services outlined below are designed to meet the specific banking, treasury, and financial management needs of the client as discussed during preliminary consultations held at our Alexandria office on 2 June 2025.</w:t>
      </w:r>
    </w:p>
    <w:p>
      <w:pPr>
        <w:pStyle w:val="BodyText"/>
      </w:pPr>
      <w:r>
        <w:t xml:space="preserve">The Banker engagement covers a full spectrum of financial operations including but not limited to corporate account management, trade finance facilitation, foreign exchange advisory, liquidity planning, and regulatory compliance support in accordance with the Central Bank of Egypt (CBE) directives applicable in the Alexandria governorate and the wider Egyptian financial framework.</w:t>
      </w:r>
    </w:p>
    <w:bookmarkEnd w:id="21"/>
    <w:bookmarkStart w:id="22" w:name="Xd0585cd15ba7dd5678a7c8e5de686f8ee35978d"/>
    <w:p>
      <w:pPr>
        <w:pStyle w:val="Heading2"/>
      </w:pPr>
      <w:r>
        <w:t xml:space="preserve">2. Itemized Quotation Estimate – Banker Service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(EGP)</w:t>
            </w:r>
          </w:p>
        </w:tc>
        <w:tc>
          <w:tcPr/>
          <w:p>
            <w:pPr>
              <w:pStyle w:val="Compact"/>
              <w:jc w:val="left"/>
            </w:pPr>
            <w:r>
              <w:t xml:space="preserve">Unit Rate (USD)</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Senior Banker – Corporate Account Management &amp; Daily Treasury Operations in Alexandria</w:t>
            </w:r>
          </w:p>
        </w:tc>
        <w:tc>
          <w:tcPr/>
          <w:p>
            <w:pPr>
              <w:pStyle w:val="Compact"/>
              <w:jc w:val="left"/>
            </w:pPr>
            <w:r>
              <w:t xml:space="preserve">12 Months (Full-Time)</w:t>
            </w:r>
          </w:p>
        </w:tc>
        <w:tc>
          <w:tcPr/>
          <w:p>
            <w:pPr>
              <w:pStyle w:val="Compact"/>
              <w:jc w:val="left"/>
            </w:pPr>
            <w:r>
              <w:t xml:space="preserve">45,000 / month</w:t>
            </w:r>
          </w:p>
        </w:tc>
        <w:tc>
          <w:tcPr/>
          <w:p>
            <w:pPr>
              <w:pStyle w:val="Compact"/>
              <w:jc w:val="left"/>
            </w:pPr>
            <w:r>
              <w:t xml:space="preserve">$920 / month</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Trade Finance &amp; Letter of Credit Facilitation (per transaction, Alexandria Port corridor)</w:t>
            </w:r>
          </w:p>
        </w:tc>
        <w:tc>
          <w:tcPr/>
          <w:p>
            <w:pPr>
              <w:pStyle w:val="Compact"/>
              <w:jc w:val="left"/>
            </w:pPr>
            <w:r>
              <w:t xml:space="preserve">Up to 25 transactions</w:t>
            </w:r>
          </w:p>
        </w:tc>
        <w:tc>
          <w:tcPr/>
          <w:p>
            <w:pPr>
              <w:pStyle w:val="Compact"/>
              <w:jc w:val="left"/>
            </w:pPr>
            <w:r>
              <w:t xml:space="preserve">3,500 / txn</w:t>
            </w:r>
          </w:p>
        </w:tc>
        <w:tc>
          <w:tcPr/>
          <w:p>
            <w:pPr>
              <w:pStyle w:val="Compact"/>
              <w:jc w:val="left"/>
            </w:pPr>
            <w:r>
              <w:t xml:space="preserve">$72 / txn</w:t>
            </w:r>
          </w:p>
        </w:tc>
        <w:tc>
          <w:tcPr/>
          <w:p>
            <w:pPr>
              <w:pStyle w:val="Compact"/>
              <w:jc w:val="left"/>
            </w:pPr>
            <w:r>
              <w:t xml:space="preserve">87,500</w:t>
            </w:r>
          </w:p>
        </w:tc>
      </w:tr>
      <w:tr>
        <w:tc>
          <w:tcPr/>
          <w:p>
            <w:pPr>
              <w:pStyle w:val="Compact"/>
              <w:jc w:val="left"/>
            </w:pPr>
            <w:r>
              <w:t xml:space="preserve">3</w:t>
            </w:r>
          </w:p>
        </w:tc>
        <w:tc>
          <w:tcPr/>
          <w:p>
            <w:pPr>
              <w:pStyle w:val="Compact"/>
              <w:jc w:val="left"/>
            </w:pPr>
            <w:r>
              <w:t xml:space="preserve">Foreign Exchange Advisory &amp; Hedging Strategy (EGP/USD, EGP/EUR) – Alexandria Market</w:t>
            </w:r>
          </w:p>
        </w:tc>
        <w:tc>
          <w:tcPr/>
          <w:p>
            <w:pPr>
              <w:pStyle w:val="Compact"/>
              <w:jc w:val="left"/>
            </w:pPr>
            <w:r>
              <w:t xml:space="preserve">Quarterly (4 sessions)</w:t>
            </w:r>
          </w:p>
        </w:tc>
        <w:tc>
          <w:tcPr/>
          <w:p>
            <w:pPr>
              <w:pStyle w:val="Compact"/>
              <w:jc w:val="left"/>
            </w:pPr>
            <w:r>
              <w:t xml:space="preserve">12,000 / session</w:t>
            </w:r>
          </w:p>
        </w:tc>
        <w:tc>
          <w:tcPr/>
          <w:p>
            <w:pPr>
              <w:pStyle w:val="Compact"/>
              <w:jc w:val="left"/>
            </w:pPr>
            <w:r>
              <w:t xml:space="preserve">$247 / session</w:t>
            </w:r>
          </w:p>
        </w:tc>
        <w:tc>
          <w:tcPr/>
          <w:p>
            <w:pPr>
              <w:pStyle w:val="Compact"/>
              <w:jc w:val="left"/>
            </w:pPr>
            <w:r>
              <w:t xml:space="preserve">48,000</w:t>
            </w:r>
          </w:p>
        </w:tc>
      </w:tr>
      <w:tr>
        <w:tc>
          <w:tcPr/>
          <w:p>
            <w:pPr>
              <w:pStyle w:val="Compact"/>
              <w:jc w:val="left"/>
            </w:pPr>
            <w:r>
              <w:t xml:space="preserve">4</w:t>
            </w:r>
          </w:p>
        </w:tc>
        <w:tc>
          <w:tcPr/>
          <w:p>
            <w:pPr>
              <w:pStyle w:val="Compact"/>
              <w:jc w:val="left"/>
            </w:pPr>
            <w:r>
              <w:t xml:space="preserve">Regulatory Compliance &amp; CBE Reporting Support (Banker-led)</w:t>
            </w:r>
          </w:p>
        </w:tc>
        <w:tc>
          <w:tcPr/>
          <w:p>
            <w:pPr>
              <w:pStyle w:val="Compact"/>
              <w:jc w:val="left"/>
            </w:pPr>
            <w:r>
              <w:t xml:space="preserve">Monthly (12 reports)</w:t>
            </w:r>
          </w:p>
        </w:tc>
        <w:tc>
          <w:tcPr/>
          <w:p>
            <w:pPr>
              <w:pStyle w:val="Compact"/>
              <w:jc w:val="left"/>
            </w:pPr>
            <w:r>
              <w:t xml:space="preserve">8,500 / report</w:t>
            </w:r>
          </w:p>
        </w:tc>
        <w:tc>
          <w:tcPr/>
          <w:p>
            <w:pPr>
              <w:pStyle w:val="Compact"/>
              <w:jc w:val="left"/>
            </w:pPr>
            <w:r>
              <w:t xml:space="preserve">$175 / report</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Liquidity Planning &amp; Cash Flow Forecasting – Alexandria Operations</w:t>
            </w:r>
          </w:p>
        </w:tc>
        <w:tc>
          <w:tcPr/>
          <w:p>
            <w:pPr>
              <w:pStyle w:val="Compact"/>
              <w:jc w:val="left"/>
            </w:pPr>
            <w:r>
              <w:t xml:space="preserve">Bi-Weekly (26 sessions)</w:t>
            </w:r>
          </w:p>
        </w:tc>
        <w:tc>
          <w:tcPr/>
          <w:p>
            <w:pPr>
              <w:pStyle w:val="Compact"/>
              <w:jc w:val="left"/>
            </w:pPr>
            <w:r>
              <w:t xml:space="preserve">4,200 / session</w:t>
            </w:r>
          </w:p>
        </w:tc>
        <w:tc>
          <w:tcPr/>
          <w:p>
            <w:pPr>
              <w:pStyle w:val="Compact"/>
              <w:jc w:val="left"/>
            </w:pPr>
            <w:r>
              <w:t xml:space="preserve">$86 / session</w:t>
            </w:r>
          </w:p>
        </w:tc>
        <w:tc>
          <w:tcPr/>
          <w:p>
            <w:pPr>
              <w:pStyle w:val="Compact"/>
              <w:jc w:val="left"/>
            </w:pPr>
            <w:r>
              <w:t xml:space="preserve">109,200</w:t>
            </w:r>
          </w:p>
        </w:tc>
      </w:tr>
      <w:tr>
        <w:tc>
          <w:tcPr/>
          <w:p>
            <w:pPr>
              <w:pStyle w:val="Compact"/>
              <w:jc w:val="left"/>
            </w:pPr>
            <w:r>
              <w:t xml:space="preserve">6</w:t>
            </w:r>
          </w:p>
        </w:tc>
        <w:tc>
          <w:tcPr/>
          <w:p>
            <w:pPr>
              <w:pStyle w:val="Compact"/>
              <w:jc w:val="left"/>
            </w:pPr>
            <w:r>
              <w:t xml:space="preserve">On-Site Banker Consultation at Client Premises, Smouha, Alexandria</w:t>
            </w:r>
          </w:p>
        </w:tc>
        <w:tc>
          <w:tcPr/>
          <w:p>
            <w:pPr>
              <w:pStyle w:val="Compact"/>
              <w:jc w:val="left"/>
            </w:pPr>
            <w:r>
              <w:t xml:space="preserve">2 Days / Month (24 days)</w:t>
            </w:r>
          </w:p>
        </w:tc>
        <w:tc>
          <w:tcPr/>
          <w:p>
            <w:pPr>
              <w:pStyle w:val="Compact"/>
              <w:jc w:val="left"/>
            </w:pPr>
            <w:r>
              <w:t xml:space="preserve">6,000 / day</w:t>
            </w:r>
          </w:p>
        </w:tc>
        <w:tc>
          <w:tcPr/>
          <w:p>
            <w:pPr>
              <w:pStyle w:val="Compact"/>
              <w:jc w:val="left"/>
            </w:pPr>
            <w:r>
              <w:t xml:space="preserve">$123 / day</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Annual Financial Health Audit &amp; Banker's Report (Egypt Alexandria jurisdiction)</w:t>
            </w:r>
          </w:p>
        </w:tc>
        <w:tc>
          <w:tcPr/>
          <w:p>
            <w:pPr>
              <w:pStyle w:val="Compact"/>
              <w:jc w:val="left"/>
            </w:pPr>
            <w:r>
              <w:t xml:space="preserve">Once (Year 1)</w:t>
            </w:r>
          </w:p>
        </w:tc>
        <w:tc>
          <w:tcPr/>
          <w:p>
            <w:pPr>
              <w:pStyle w:val="Compact"/>
              <w:jc w:val="left"/>
            </w:pPr>
            <w:r>
              <w:t xml:space="preserve">35,000</w:t>
            </w:r>
          </w:p>
        </w:tc>
        <w:tc>
          <w:tcPr/>
          <w:p>
            <w:pPr>
              <w:pStyle w:val="Compact"/>
              <w:jc w:val="left"/>
            </w:pPr>
            <w:r>
              <w:t xml:space="preserve">$720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Emergency Banker Hotline &amp; After-Hours Support (Alexandria coverage)</w:t>
            </w:r>
          </w:p>
        </w:tc>
        <w:tc>
          <w:tcPr/>
          <w:p>
            <w:pPr>
              <w:pStyle w:val="Compact"/>
              <w:jc w:val="left"/>
            </w:pPr>
            <w:r>
              <w:t xml:space="preserve">12 Months (24/7)</w:t>
            </w:r>
          </w:p>
        </w:tc>
        <w:tc>
          <w:tcPr/>
          <w:p>
            <w:pPr>
              <w:pStyle w:val="Compact"/>
              <w:jc w:val="left"/>
            </w:pPr>
            <w:r>
              <w:t xml:space="preserve">5,000 / month</w:t>
            </w:r>
          </w:p>
        </w:tc>
        <w:tc>
          <w:tcPr/>
          <w:p>
            <w:pPr>
              <w:pStyle w:val="Compact"/>
              <w:jc w:val="left"/>
            </w:pPr>
            <w:r>
              <w:t xml:space="preserve">$103 / month</w:t>
            </w:r>
          </w:p>
        </w:tc>
        <w:tc>
          <w:tcPr/>
          <w:p>
            <w:pPr>
              <w:pStyle w:val="Compact"/>
              <w:jc w:val="left"/>
            </w:pPr>
            <w:r>
              <w:t xml:space="preserve">60,000</w:t>
            </w:r>
          </w:p>
        </w:tc>
      </w:tr>
      <w:tr>
        <w:tc>
          <w:tcPr>
            <w:gridSpan w:val="5"/>
          </w:tcPr>
          <w:p>
            <w:pPr>
              <w:pStyle w:val="Compact"/>
              <w:jc w:val="right"/>
            </w:pPr>
            <w:r>
              <w:t xml:space="preserve">SUBTOTAL (EGP)</w:t>
            </w:r>
          </w:p>
        </w:tc>
        <w:tc>
          <w:tcPr/>
          <w:p>
            <w:pPr>
              <w:pStyle w:val="Compact"/>
              <w:jc w:val="left"/>
            </w:pPr>
            <w:r>
              <w:t xml:space="preserve">1,125,700</w:t>
            </w:r>
          </w:p>
        </w:tc>
      </w:tr>
      <w:tr>
        <w:tc>
          <w:tcPr>
            <w:gridSpan w:val="5"/>
          </w:tcPr>
          <w:p>
            <w:pPr>
              <w:pStyle w:val="Compact"/>
              <w:jc w:val="right"/>
            </w:pPr>
            <w:r>
              <w:t xml:space="preserve">VAT (14% – Egyptian Tax Authority, Alexandria)</w:t>
            </w:r>
          </w:p>
        </w:tc>
        <w:tc>
          <w:tcPr/>
          <w:p>
            <w:pPr>
              <w:pStyle w:val="Compact"/>
              <w:jc w:val="left"/>
            </w:pPr>
            <w:r>
              <w:t xml:space="preserve">157,598</w:t>
            </w:r>
          </w:p>
        </w:tc>
      </w:tr>
      <w:tr>
        <w:tc>
          <w:tcPr>
            <w:gridSpan w:val="5"/>
          </w:tcPr>
          <w:p>
            <w:pPr>
              <w:pStyle w:val="Compact"/>
              <w:jc w:val="right"/>
            </w:pPr>
            <w:r>
              <w:t xml:space="preserve">GRAND TOTAL (EGP)</w:t>
            </w:r>
          </w:p>
        </w:tc>
        <w:tc>
          <w:tcPr/>
          <w:p>
            <w:pPr>
              <w:pStyle w:val="Compact"/>
              <w:jc w:val="left"/>
            </w:pPr>
            <w:r>
              <w:t xml:space="preserve">1,283,298</w:t>
            </w:r>
          </w:p>
        </w:tc>
      </w:tr>
      <w:tr>
        <w:tc>
          <w:tcPr>
            <w:gridSpan w:val="5"/>
          </w:tcPr>
          <w:p>
            <w:pPr>
              <w:pStyle w:val="Compact"/>
              <w:jc w:val="right"/>
            </w:pPr>
            <w:r>
              <w:t xml:space="preserve">GRAND TOTAL (USD – approx. at EGP 48.90/USD)</w:t>
            </w:r>
          </w:p>
        </w:tc>
        <w:tc>
          <w:tcPr/>
          <w:p>
            <w:pPr>
              <w:pStyle w:val="Compact"/>
              <w:jc w:val="left"/>
            </w:pPr>
            <w:r>
              <w:t xml:space="preserve">$26,243.31</w:t>
            </w:r>
          </w:p>
        </w:tc>
      </w:tr>
    </w:tbl>
    <w:bookmarkEnd w:id="22"/>
    <w:bookmarkStart w:id="23" w:name="X06f751c0fef37426aad28df54ec1acd620508e5"/>
    <w:p>
      <w:pPr>
        <w:pStyle w:val="Heading2"/>
      </w:pPr>
      <w:r>
        <w:t xml:space="preserve">3. Terms &amp;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Banker service rates and associated charges are subject to revision based on prevailing market conditions in Egypt Alexandria and applicable Central Bank of Egypt interest rate adjustments.</w:t>
      </w:r>
    </w:p>
    <w:p>
      <w:pPr>
        <w:pStyle w:val="BodyText"/>
      </w:pPr>
      <w:r>
        <w:rPr>
          <w:bCs/>
          <w:b/>
        </w:rPr>
        <w:t xml:space="preserve">3.2</w:t>
      </w:r>
      <w:r>
        <w:t xml:space="preserve"> </w:t>
      </w:r>
      <w:r>
        <w:t xml:space="preserve">Payment terms: 40% advance upon acceptance of this Quotation Estimate, 30% upon commencement of the Banker engagement, and the remaining 30% payable in equal monthly installments over the twelve-month service period. All payments shall be made in Egyptian Pounds (EGP) via bank transfer to AFAG's designated account at National Bank of Egypt, Alexandria Branch.</w:t>
      </w:r>
    </w:p>
    <w:p>
      <w:pPr>
        <w:pStyle w:val="BodyText"/>
      </w:pPr>
      <w:r>
        <w:rPr>
          <w:bCs/>
          <w:b/>
        </w:rPr>
        <w:t xml:space="preserve">3.3</w:t>
      </w:r>
      <w:r>
        <w:t xml:space="preserve"> </w:t>
      </w:r>
      <w:r>
        <w:t xml:space="preserve">The Banker assigned to this engagement shall be a licensed professional registered with the Egyptian Financial Regulatory Authority (EFRA) and shall operate in full compliance with all banking regulations applicable in the Alexandria governorate and the Republic of Egypt.</w:t>
      </w:r>
    </w:p>
    <w:p>
      <w:pPr>
        <w:pStyle w:val="BodyText"/>
      </w:pPr>
      <w:r>
        <w:rPr>
          <w:bCs/>
          <w:b/>
        </w:rPr>
        <w:t xml:space="preserve">3.4</w:t>
      </w:r>
      <w:r>
        <w:t xml:space="preserve"> </w:t>
      </w:r>
      <w:r>
        <w:t xml:space="preserve">Any additional services beyond the scope defined in this Quotation Estimate shall be subject to a supplementary written amendment signed by both parties. The Banker shall provide a written notice at least five (5) business days prior to any out-of-scope work.</w:t>
      </w:r>
    </w:p>
    <w:p>
      <w:pPr>
        <w:pStyle w:val="BodyText"/>
      </w:pPr>
      <w:r>
        <w:rPr>
          <w:bCs/>
          <w:b/>
        </w:rPr>
        <w:t xml:space="preserve">3.5</w:t>
      </w:r>
      <w:r>
        <w:t xml:space="preserve"> </w:t>
      </w:r>
      <w:r>
        <w:t xml:space="preserve">This Quotation Estimate does not constitute a binding contract until formally accepted in writing by the client and countersigned by AFAG's authorized representative in Alexandria, Egypt.</w:t>
      </w:r>
    </w:p>
    <w:p>
      <w:pPr>
        <w:pStyle w:val="BodyText"/>
      </w:pPr>
      <w:r>
        <w:rPr>
          <w:bCs/>
          <w:b/>
        </w:rPr>
        <w:t xml:space="preserve">3.6</w:t>
      </w:r>
      <w:r>
        <w:t xml:space="preserve"> </w:t>
      </w:r>
      <w:r>
        <w:t xml:space="preserve">All data, financial records, and client information handled by the Banker during the engagement period shall be treated as strictly confidential in accordance with Egyptian Law No. 173 of 2018 on Personal Data Protection.</w:t>
      </w:r>
    </w:p>
    <w:p>
      <w:pPr>
        <w:pStyle w:val="BodyText"/>
      </w:pPr>
      <w:r>
        <w:rPr>
          <w:bCs/>
          <w:b/>
        </w:rPr>
        <w:t xml:space="preserve">3.7</w:t>
      </w:r>
      <w:r>
        <w:t xml:space="preserve"> </w:t>
      </w:r>
      <w:r>
        <w:t xml:space="preserve">Force majeure events, including but not limited to government-mandated closures in Alexandria, currency devaluation exceeding 10% in a single quarter, or regulatory changes by the CBE, shall entitle either party to renegotiate the terms of this Quotation Estimate without penalty.</w:t>
      </w:r>
    </w:p>
    <w:bookmarkEnd w:id="23"/>
    <w:bookmarkStart w:id="24" w:name="acceptance-authorization"/>
    <w:p>
      <w:pPr>
        <w:pStyle w:val="Heading2"/>
      </w:pPr>
      <w:r>
        <w:t xml:space="preserve">4. Acceptance &amp; Authorization</w:t>
      </w:r>
    </w:p>
    <w:p>
      <w:pPr>
        <w:pStyle w:val="FirstParagraph"/>
      </w:pPr>
      <w:r>
        <w:t xml:space="preserve">For Alexandria Financial Advisory Group (AFAG)</w:t>
      </w:r>
    </w:p>
    <w:p>
      <w:pPr>
        <w:pStyle w:val="BodyText"/>
      </w:pPr>
      <w:r>
        <w:t xml:space="preserve">Authorized Banker Representative</w:t>
      </w:r>
    </w:p>
    <w:p>
      <w:pPr>
        <w:pStyle w:val="BodyText"/>
      </w:pPr>
      <w:r>
        <w:t xml:space="preserve">Name: ___________________________</w:t>
      </w:r>
      <w:r>
        <w:br/>
      </w:r>
      <w:r>
        <w:t xml:space="preserve">Title: Senior Banker, Egypt Alexandria</w:t>
      </w:r>
      <w:r>
        <w:br/>
      </w:r>
      <w:r>
        <w:t xml:space="preserve">Signature &amp; Date: ___________________________</w:t>
      </w:r>
    </w:p>
    <w:p>
      <w:pPr>
        <w:pStyle w:val="BodyText"/>
      </w:pPr>
      <w:r>
        <w:t xml:space="preserve">For the Client</w:t>
      </w:r>
    </w:p>
    <w:p>
      <w:pPr>
        <w:pStyle w:val="BodyText"/>
      </w:pPr>
      <w:r>
        <w:t xml:space="preserve">Authorized Signatory</w:t>
      </w:r>
    </w:p>
    <w:p>
      <w:pPr>
        <w:pStyle w:val="BodyText"/>
      </w:pPr>
      <w:r>
        <w:t xml:space="preserve">Name: ___________________________</w:t>
      </w:r>
      <w:r>
        <w:br/>
      </w:r>
      <w:r>
        <w:t xml:space="preserve">Title: ___________________________</w:t>
      </w:r>
      <w:r>
        <w:br/>
      </w:r>
      <w:r>
        <w:t xml:space="preserve">Signature &amp; Date: ___________________________</w:t>
      </w:r>
    </w:p>
    <w:p>
      <w:pPr>
        <w:pStyle w:val="BodyText"/>
      </w:pPr>
      <w:r>
        <w:rPr>
          <w:bCs/>
          <w:b/>
        </w:rPr>
        <w:t xml:space="preserve">Important Note:</w:t>
      </w:r>
      <w:r>
        <w:t xml:space="preserve"> </w:t>
      </w:r>
      <w:r>
        <w:t xml:space="preserve">This Quotation Estimate for Banker services in Egypt Alexandria is prepared exclusively for the named client and may not be transferred, reproduced, or relied upon by any third party without the prior written consent of Alexandria Financial Advisory Group. All rates are inclusive of the Banker's professional fees, local transportation within Alexandria city limits, and standard administrative overhead. This document is governed by the laws of the Arab Republic of Egypt, and any disputes shall be subject to the exclusive jurisdiction of the Alexandria Commercial Court.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Egypt Alexandria</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