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Banker Services &amp; Financial Advisory Solutions</w:t>
      </w:r>
    </w:p>
    <w:p>
      <w:pPr>
        <w:pStyle w:val="BodyText"/>
      </w:pPr>
      <w:r>
        <w:t xml:space="preserve">Prepared for deployment in</w:t>
      </w:r>
      <w:r>
        <w:t xml:space="preserve"> </w:t>
      </w:r>
      <w:r>
        <w:rPr>
          <w:bCs/>
          <w:b/>
        </w:rPr>
        <w:t xml:space="preserve">Egypt Cairo</w:t>
      </w:r>
      <w:r>
        <w:t xml:space="preserve"> </w:t>
      </w:r>
      <w:r>
        <w:t xml:space="preserve">| Financial District, New Cairo, Cairo Governorate, Egypt</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QTE-EGY-CAI-2025-0047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(until 15 July 2025)</w:t>
            </w:r>
          </w:p>
        </w:tc>
        <w:tc>
          <w:tcPr/>
          <w:p>
            <w:pPr>
              <w:pStyle w:val="Compact"/>
              <w:jc w:val="left"/>
            </w:pPr>
            <w:r>
              <w:t xml:space="preserve">Currency:</w:t>
            </w:r>
          </w:p>
        </w:tc>
        <w:tc>
          <w:tcPr/>
          <w:p>
            <w:pPr>
              <w:pStyle w:val="Compact"/>
              <w:jc w:val="left"/>
            </w:pPr>
            <w:r>
              <w:t xml:space="preserve">Egyptian Pound (EGP) / US Dollar (USD)</w:t>
            </w:r>
          </w:p>
        </w:tc>
      </w:tr>
      <w:tr>
        <w:tc>
          <w:tcPr/>
          <w:p>
            <w:pPr>
              <w:pStyle w:val="Compact"/>
              <w:jc w:val="left"/>
            </w:pPr>
            <w:r>
              <w:t xml:space="preserve">Prepared By:</w:t>
            </w:r>
          </w:p>
        </w:tc>
        <w:tc>
          <w:tcPr/>
          <w:p>
            <w:pPr>
              <w:pStyle w:val="Compact"/>
              <w:jc w:val="left"/>
            </w:pPr>
            <w:r>
              <w:t xml:space="preserve">Al-Nile Financial Services Group, 12 Tahrir Square, Downtown Cairo, Egypt</w:t>
            </w:r>
          </w:p>
        </w:tc>
        <w:tc>
          <w:tcPr/>
          <w:p>
            <w:pPr>
              <w:pStyle w:val="Compact"/>
              <w:jc w:val="left"/>
            </w:pPr>
            <w:r>
              <w:t xml:space="preserve">Contact:</w:t>
            </w:r>
          </w:p>
        </w:tc>
        <w:tc>
          <w:tcPr/>
          <w:p>
            <w:pPr>
              <w:pStyle w:val="Compact"/>
              <w:jc w:val="left"/>
            </w:pPr>
            <w:r>
              <w:t xml:space="preserve">+20 2 2577 8899 | info@alnilefinancial.eg</w:t>
            </w:r>
          </w:p>
        </w:tc>
      </w:tr>
      <w:tr>
        <w:tc>
          <w:tcPr/>
          <w:p>
            <w:pPr>
              <w:pStyle w:val="Compact"/>
              <w:jc w:val="left"/>
            </w:pPr>
            <w:r>
              <w:t xml:space="preserve">Prepared For:</w:t>
            </w:r>
          </w:p>
        </w:tc>
        <w:tc>
          <w:tcPr/>
          <w:p>
            <w:pPr>
              <w:pStyle w:val="Compact"/>
              <w:jc w:val="left"/>
            </w:pPr>
            <w:r>
              <w:t xml:space="preserve">Client Name / Organization (to be confirmed)</w:t>
            </w:r>
          </w:p>
        </w:tc>
        <w:tc>
          <w:tcPr/>
          <w:p>
            <w:pPr>
              <w:pStyle w:val="Compact"/>
              <w:jc w:val="left"/>
            </w:pPr>
            <w:r>
              <w:t xml:space="preserve">Client Address:</w:t>
            </w:r>
          </w:p>
        </w:tc>
        <w:tc>
          <w:tcPr/>
          <w:p>
            <w:pPr>
              <w:pStyle w:val="Compact"/>
              <w:jc w:val="left"/>
            </w:pPr>
            <w:r>
              <w:t xml:space="preserve">Cairo, Egypt</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document is issued by Al-Nile Financial Services Group to provide a comprehensive, itemized cost breakdown for the engagement of a senior</w:t>
      </w:r>
      <w:r>
        <w:t xml:space="preserve"> </w:t>
      </w:r>
      <w:r>
        <w:t xml:space="preserve">Banker</w:t>
      </w:r>
      <w:r>
        <w:t xml:space="preserve"> </w:t>
      </w:r>
      <w:r>
        <w:t xml:space="preserve">professional and associated financial advisory services to be deployed and operational within</w:t>
      </w:r>
      <w:r>
        <w:t xml:space="preserve"> </w:t>
      </w:r>
      <w:r>
        <w:t xml:space="preserve">Egypt Cairo</w:t>
      </w:r>
      <w:r>
        <w:t xml:space="preserve">. The scope encompasses the full lifecycle of the Banker engagement, including recruitment facilitation, onboarding, ongoing professional services, regulatory compliance support under the Central Bank of Egypt (CBE) guidelines, and continuous performance management throughout the contracted term.</w:t>
      </w:r>
    </w:p>
    <w:p>
      <w:pPr>
        <w:pStyle w:val="BodyText"/>
      </w:pPr>
      <w:r>
        <w:t xml:space="preserve">The Banker role described in this Quotation Estimate is tailored specifically to the financial landscape of Egypt Cairo, taking into account the regulatory environment governed by the Central Bank of Egypt, the operational requirements of the Cairo financial district, and the specific needs of the client's banking operations within the Egyptian market. All pricing, deliverables, and service-level commitments outlined herein are calibrated to the economic conditions, labor market rates, and regulatory obligations applicable to Egypt Cairo as of the date of this Quotation Estimate.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Banker Service / Deliverable</w:t>
            </w:r>
          </w:p>
        </w:tc>
        <w:tc>
          <w:tcPr/>
          <w:p>
            <w:pPr>
              <w:pStyle w:val="Compact"/>
              <w:jc w:val="left"/>
            </w:pPr>
            <w:r>
              <w:t xml:space="preserve">Duration / Qty</w:t>
            </w:r>
          </w:p>
        </w:tc>
        <w:tc>
          <w:tcPr/>
          <w:p>
            <w:pPr>
              <w:pStyle w:val="Compact"/>
              <w:jc w:val="left"/>
            </w:pPr>
            <w:r>
              <w:t xml:space="preserve">Unit Cost (EGP)</w:t>
            </w:r>
          </w:p>
        </w:tc>
        <w:tc>
          <w:tcPr/>
          <w:p>
            <w:pPr>
              <w:pStyle w:val="Compact"/>
              <w:jc w:val="left"/>
            </w:pPr>
            <w:r>
              <w:t xml:space="preserve">Total Cost (EGP)</w:t>
            </w:r>
          </w:p>
        </w:tc>
      </w:tr>
      <w:tr>
        <w:tc>
          <w:tcPr/>
          <w:p>
            <w:pPr>
              <w:pStyle w:val="Compact"/>
              <w:jc w:val="left"/>
            </w:pPr>
            <w:r>
              <w:t xml:space="preserve">01</w:t>
            </w:r>
          </w:p>
        </w:tc>
        <w:tc>
          <w:tcPr/>
          <w:p>
            <w:pPr>
              <w:pStyle w:val="Compact"/>
              <w:jc w:val="left"/>
            </w:pPr>
            <w:r>
              <w:t xml:space="preserve">Senior Banker Professional – Monthly Retainer (Cairo-based, full-time engagement including on-site presence at client premises in New Cairo or Downtown Cairo)</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Banker Recruitment &amp; Vetting – Background verification, CBE license validation, professional reference checks, and Egyptian labor law compliance screening</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Regulatory Compliance Advisory – Ongoing support for Banker activities under Central Bank of Egypt regulations, AML/KYC protocols, and Egyptian Financial Regulatory Authority (FRA) reporting requirements</w:t>
            </w:r>
          </w:p>
        </w:tc>
        <w:tc>
          <w:tcPr/>
          <w:p>
            <w:pPr>
              <w:pStyle w:val="Compact"/>
              <w:jc w:val="left"/>
            </w:pPr>
            <w:r>
              <w:t xml:space="preserve">12 months</w:t>
            </w:r>
          </w:p>
        </w:tc>
        <w:tc>
          <w:tcPr/>
          <w:p>
            <w:pPr>
              <w:pStyle w:val="Compact"/>
              <w:jc w:val="left"/>
            </w:pPr>
            <w:r>
              <w:t xml:space="preserve">30,000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Banker Performance Management &amp; KPI Reporting – Quarterly performance reviews, annual appraisal, and strategic alignment sessions conducted in Cairo</w:t>
            </w:r>
          </w:p>
        </w:tc>
        <w:tc>
          <w:tcPr/>
          <w:p>
            <w:pPr>
              <w:pStyle w:val="Compact"/>
              <w:jc w:val="left"/>
            </w:pPr>
            <w:r>
              <w:t xml:space="preserve">4 quarters + 1 annual</w:t>
            </w:r>
          </w:p>
        </w:tc>
        <w:tc>
          <w:tcPr/>
          <w:p>
            <w:pPr>
              <w:pStyle w:val="Compact"/>
              <w:jc w:val="left"/>
            </w:pPr>
            <w:r>
              <w:t xml:space="preserve">12,000</w:t>
            </w:r>
          </w:p>
        </w:tc>
        <w:tc>
          <w:tcPr/>
          <w:p>
            <w:pPr>
              <w:pStyle w:val="Compact"/>
              <w:jc w:val="left"/>
            </w:pPr>
            <w:r>
              <w:t xml:space="preserve">60,000</w:t>
            </w:r>
          </w:p>
        </w:tc>
      </w:tr>
      <w:tr>
        <w:tc>
          <w:tcPr/>
          <w:p>
            <w:pPr>
              <w:pStyle w:val="Compact"/>
              <w:jc w:val="left"/>
            </w:pPr>
            <w:r>
              <w:t xml:space="preserve">05</w:t>
            </w:r>
          </w:p>
        </w:tc>
        <w:tc>
          <w:tcPr/>
          <w:p>
            <w:pPr>
              <w:pStyle w:val="Compact"/>
              <w:jc w:val="left"/>
            </w:pPr>
            <w:r>
              <w:t xml:space="preserve">Professional Development &amp; Training – Annual upskilling program for the Banker covering Egyptian banking law updates, digital banking trends, and Cairo market intelligence</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06</w:t>
            </w:r>
          </w:p>
        </w:tc>
        <w:tc>
          <w:tcPr/>
          <w:p>
            <w:pPr>
              <w:pStyle w:val="Compact"/>
              <w:jc w:val="left"/>
            </w:pPr>
            <w:r>
              <w:t xml:space="preserve">Office &amp; Operational Setup in Egypt Cairo – Dedicated workspace, secure communication infrastructure, banking software licenses, and local IT support for the Banker's operational base</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Travel &amp; Local Logistics – Transportation, client meeting facilitation, and inter-district travel within Cairo Governorate for the Banker's operational duties</w:t>
            </w:r>
          </w:p>
        </w:tc>
        <w:tc>
          <w:tcPr/>
          <w:p>
            <w:pPr>
              <w:pStyle w:val="Compact"/>
              <w:jc w:val="left"/>
            </w:pPr>
            <w:r>
              <w:t xml:space="preserve">12 months</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08</w:t>
            </w:r>
          </w:p>
        </w:tc>
        <w:tc>
          <w:tcPr/>
          <w:p>
            <w:pPr>
              <w:pStyle w:val="Compact"/>
              <w:jc w:val="left"/>
            </w:pPr>
            <w:r>
              <w:t xml:space="preserve">Insurance &amp; Liability Coverage – Professional indemnity insurance, personal accident coverage, and fiduciary liability insurance for the Banker operating in Egypt Cairo</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09</w:t>
            </w:r>
          </w:p>
        </w:tc>
        <w:tc>
          <w:tcPr/>
          <w:p>
            <w:pPr>
              <w:pStyle w:val="Compact"/>
              <w:jc w:val="left"/>
            </w:pPr>
            <w:r>
              <w:t xml:space="preserve">Contingency &amp; Force Majeure Reserve – Allocated buffer for unforeseen regulatory changes, currency fluctuation adjustments, or operational disruptions specific to the Egypt Cairo market</w:t>
            </w:r>
          </w:p>
        </w:tc>
        <w:tc>
          <w:tcPr/>
          <w:p>
            <w:pPr>
              <w:pStyle w:val="Compact"/>
              <w:jc w:val="left"/>
            </w:pPr>
            <w:r>
              <w:t xml:space="preserve">12 months</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right"/>
            </w:pPr>
            <w:r>
              <w:t xml:space="preserve">SUBTOTAL (EGP):</w:t>
            </w:r>
          </w:p>
        </w:tc>
        <w:tc>
          <w:tcPr/>
          <w:p>
            <w:pPr>
              <w:pStyle w:val="Compact"/>
              <w:jc w:val="left"/>
            </w:pPr>
            <w:r>
              <w:t xml:space="preserve">2,211,000</w:t>
            </w:r>
          </w:p>
        </w:tc>
      </w:tr>
      <w:tr>
        <w:tc>
          <w:tcPr>
            <w:gridSpan w:val="4"/>
          </w:tcPr>
          <w:p>
            <w:pPr>
              <w:pStyle w:val="Compact"/>
              <w:jc w:val="right"/>
            </w:pPr>
            <w:r>
              <w:t xml:space="preserve">VAT (14% – Egyptian Tax Authority):</w:t>
            </w:r>
          </w:p>
        </w:tc>
        <w:tc>
          <w:tcPr/>
          <w:p>
            <w:pPr>
              <w:pStyle w:val="Compact"/>
              <w:jc w:val="left"/>
            </w:pPr>
            <w:r>
              <w:t xml:space="preserve">309,540</w:t>
            </w:r>
          </w:p>
        </w:tc>
      </w:tr>
      <w:tr>
        <w:tc>
          <w:tcPr>
            <w:gridSpan w:val="4"/>
          </w:tcPr>
          <w:p>
            <w:pPr>
              <w:pStyle w:val="Compact"/>
              <w:jc w:val="right"/>
            </w:pPr>
            <w:r>
              <w:t xml:space="preserve">GRAND TOTAL (EGP):</w:t>
            </w:r>
          </w:p>
        </w:tc>
        <w:tc>
          <w:tcPr/>
          <w:p>
            <w:pPr>
              <w:pStyle w:val="Compact"/>
              <w:jc w:val="left"/>
            </w:pPr>
            <w:r>
              <w:t xml:space="preserve">2,520,540</w:t>
            </w:r>
          </w:p>
        </w:tc>
      </w:tr>
      <w:tr>
        <w:tc>
          <w:tcPr>
            <w:gridSpan w:val="4"/>
          </w:tcPr>
          <w:p>
            <w:pPr>
              <w:pStyle w:val="Compact"/>
              <w:jc w:val="right"/>
            </w:pPr>
            <w:r>
              <w:t xml:space="preserve">GRAND TOTAL (USD – approximate at EGP 48.50/USD):</w:t>
            </w:r>
          </w:p>
        </w:tc>
        <w:tc>
          <w:tcPr/>
          <w:p>
            <w:pPr>
              <w:pStyle w:val="Compact"/>
              <w:jc w:val="left"/>
            </w:pPr>
            <w:r>
              <w:t xml:space="preserve">$51,970.00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Beyond this period, all pricing for the Banker engagement in Egypt Cairo is subject to revision based on prevailing market conditions, Central Bank of Egypt policy changes, or currency fluctuations.</w:t>
      </w:r>
    </w:p>
    <w:p>
      <w:pPr>
        <w:numPr>
          <w:ilvl w:val="0"/>
          <w:numId w:val="1001"/>
        </w:numPr>
        <w:pStyle w:val="Compact"/>
      </w:pPr>
      <w:r>
        <w:rPr>
          <w:bCs/>
          <w:b/>
        </w:rPr>
        <w:t xml:space="preserve">Payment Terms:</w:t>
      </w:r>
      <w:r>
        <w:t xml:space="preserve"> </w:t>
      </w:r>
      <w:r>
        <w:t xml:space="preserve">40% advance payment upon acceptance of this Quotation Estimate; 30% upon successful onboarding and commencement of the Banker's duties in Cairo; 30% upon completion of the 12-month engagement period. All payments shall be made in Egyptian Pounds (EGP) via bank transfer to the designated account in Cairo, Egypt.</w:t>
      </w:r>
    </w:p>
    <w:p>
      <w:pPr>
        <w:numPr>
          <w:ilvl w:val="0"/>
          <w:numId w:val="1001"/>
        </w:numPr>
        <w:pStyle w:val="Compact"/>
      </w:pPr>
      <w:r>
        <w:rPr>
          <w:bCs/>
          <w:b/>
        </w:rPr>
        <w:t xml:space="preserve">Banker Qualifications:</w:t>
      </w:r>
      <w:r>
        <w:t xml:space="preserve"> </w:t>
      </w:r>
      <w:r>
        <w:t xml:space="preserve">The Banker engaged under this Quotation Estimate shall hold a minimum of ten (10) years of progressive experience in commercial or investment banking, possess a valid Central Bank of Egypt professional license, and demonstrate fluency in both Arabic and English to operate effectively within the Egypt Cairo financial ecosystem.</w:t>
      </w:r>
    </w:p>
    <w:p>
      <w:pPr>
        <w:numPr>
          <w:ilvl w:val="0"/>
          <w:numId w:val="1001"/>
        </w:numPr>
        <w:pStyle w:val="Compact"/>
      </w:pPr>
      <w:r>
        <w:rPr>
          <w:bCs/>
          <w:b/>
        </w:rPr>
        <w:t xml:space="preserve">Regulatory Compliance:</w:t>
      </w:r>
      <w:r>
        <w:t xml:space="preserve"> </w:t>
      </w:r>
      <w:r>
        <w:t xml:space="preserve">All activities performed by the Banker in Egypt Cairo shall strictly adhere to the laws of the Arab Republic of Egypt, the regulations of the Central Bank of Egypt, the Egyptian Financial Regulatory Authority, and applicable anti-money laundering (AML) and counter-terrorism financing (CTF) legislation.</w:t>
      </w:r>
    </w:p>
    <w:p>
      <w:pPr>
        <w:numPr>
          <w:ilvl w:val="0"/>
          <w:numId w:val="1001"/>
        </w:numPr>
        <w:pStyle w:val="Compact"/>
      </w:pPr>
      <w:r>
        <w:rPr>
          <w:bCs/>
          <w:b/>
        </w:rPr>
        <w:t xml:space="preserve">Confidentiality:</w:t>
      </w:r>
      <w:r>
        <w:t xml:space="preserve"> </w:t>
      </w:r>
      <w:r>
        <w:t xml:space="preserve">All financial data, client information, and operational details shared in connection with this Banker engagement in Egypt Cairo shall be treated as strictly confidential and subject to a mutual Non-Disclosure Agreement (NDA) executed prior to commencement.</w:t>
      </w:r>
    </w:p>
    <w:p>
      <w:pPr>
        <w:numPr>
          <w:ilvl w:val="0"/>
          <w:numId w:val="1001"/>
        </w:numPr>
        <w:pStyle w:val="Compact"/>
      </w:pPr>
      <w:r>
        <w:rPr>
          <w:bCs/>
          <w:b/>
        </w:rPr>
        <w:t xml:space="preserve">Termination:</w:t>
      </w:r>
      <w:r>
        <w:t xml:space="preserve"> </w:t>
      </w:r>
      <w:r>
        <w:t xml:space="preserve">Either party may terminate the Banker engagement with sixty (60) days' written notice. In the event of early termination, a pro-rata adjustment to the fees outlined in this Quotation Estimate shall apply.</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Arab Republic of Egypt. Any disputes shall be resolved through arbitration in Cairo, Egypt, in accordance with the rules of the Egyptian Arbitration Center.</w:t>
      </w:r>
    </w:p>
    <w:p>
      <w:pPr>
        <w:numPr>
          <w:ilvl w:val="0"/>
          <w:numId w:val="1001"/>
        </w:numPr>
        <w:pStyle w:val="Compact"/>
      </w:pPr>
      <w:r>
        <w:rPr>
          <w:bCs/>
          <w:b/>
        </w:rPr>
        <w:t xml:space="preserve">Exclusions:</w:t>
      </w:r>
      <w:r>
        <w:t xml:space="preserve"> </w:t>
      </w:r>
      <w:r>
        <w:t xml:space="preserve">This Quotation Estimate does not include personal income tax obligations of the Banker, which shall be the responsibility of the Banker as per Egyptian tax law, nor does it include any capital expenditure for real estate acquisition in Cairo.</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 the Banker services in Egypt Cairo, confirms understanding of all terms, conditions, and cost items detailed herein, and authorizes Al-Nile Financial Services Group to proceed with the engagement upon execution of the formal service agreement.</w:t>
      </w:r>
    </w:p>
    <w:p>
      <w:pPr>
        <w:pStyle w:val="BodyText"/>
      </w:pPr>
      <w:r>
        <w:rPr>
          <w:bCs/>
          <w:b/>
        </w:rPr>
        <w:t xml:space="preserve">For Al-Nile Financial Services Group</w:t>
      </w:r>
    </w:p>
    <w:p>
      <w:pPr>
        <w:pStyle w:val="BodyText"/>
      </w:pPr>
      <w:r>
        <w:t xml:space="preserve">Authorized Signatory</w:t>
      </w:r>
    </w:p>
    <w:p>
      <w:pPr>
        <w:pStyle w:val="BodyText"/>
      </w:pPr>
      <w:r>
        <w:t xml:space="preserve">Name / Signature / Date</w:t>
      </w:r>
    </w:p>
    <w:p>
      <w:pPr>
        <w:pStyle w:val="BodyText"/>
      </w:pPr>
      <w:r>
        <w:rPr>
          <w:bCs/>
          <w:b/>
        </w:rPr>
        <w:t xml:space="preserve">For the Client</w:t>
      </w:r>
    </w:p>
    <w:p>
      <w:pPr>
        <w:pStyle w:val="BodyText"/>
      </w:pPr>
      <w:r>
        <w:t xml:space="preserve">Authorized Representative</w:t>
      </w:r>
    </w:p>
    <w:p>
      <w:pPr>
        <w:pStyle w:val="BodyText"/>
      </w:pPr>
      <w:r>
        <w:t xml:space="preserve">Name / Signature / Date</w:t>
      </w:r>
    </w:p>
    <w:p>
      <w:pPr>
        <w:pStyle w:val="BodyText"/>
      </w:pPr>
      <w:r>
        <w:t xml:space="preserve">This Quotation Estimate (Ref: QTE-EGY-CAI-2025-0047) is a commercial document issued by Al-Nile Financial Services Group, registered in Cairo, Egypt. It does not constitute a binding contract until formally accepted and countersigned by both parties. All references to "Banker" pertain to the professional financial officer role described herein. All operational references to "Egypt Cairo" denote the geographic and regulatory jurisdiction of Cairo Governorate, Arab Republic of Egypt. This document is printed on 15 June 2025 and is valid until 15 July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Egypt Cairo</dc:title>
  <dc:creator/>
  <dc:language>en</dc:language>
  <cp:keywords/>
  <dcterms:created xsi:type="dcterms:W3CDTF">2026-10-10T07:31:34Z</dcterms:created>
  <dcterms:modified xsi:type="dcterms:W3CDTF">2026-10-10T07:31:34Z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