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Banker</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Quotation Estimate</w:t>
      </w:r>
    </w:p>
    <w:bookmarkStart w:id="20" w:name="quotation-estimate"/>
    <w:p>
      <w:pPr>
        <w:pStyle w:val="Heading1"/>
      </w:pPr>
      <w:r>
        <w:t xml:space="preserve">QUOTATION ESTIMATE</w:t>
      </w:r>
    </w:p>
    <w:p>
      <w:pPr>
        <w:pStyle w:val="FirstParagraph"/>
      </w:pPr>
      <w:r>
        <w:t xml:space="preserve">Professional Banker Services &amp; Financial Advisory – France Lyon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QTE-BNK-LYON-2025-04782</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calendar days from date of issue (expires 14 July 2025)</w:t>
            </w:r>
          </w:p>
        </w:tc>
      </w:tr>
      <w:tr>
        <w:tc>
          <w:tcPr/>
          <w:p>
            <w:pPr>
              <w:pStyle w:val="Compact"/>
              <w:jc w:val="left"/>
            </w:pPr>
            <w:r>
              <w:t xml:space="preserve">Prepared By</w:t>
            </w:r>
          </w:p>
        </w:tc>
        <w:tc>
          <w:tcPr/>
          <w:p>
            <w:pPr>
              <w:pStyle w:val="Compact"/>
              <w:jc w:val="left"/>
            </w:pPr>
            <w:r>
              <w:t xml:space="preserve">M. Laurent Deschamps, Senior Banker &amp; Financial Consultant – Lyon Office</w:t>
            </w:r>
          </w:p>
        </w:tc>
      </w:tr>
      <w:tr>
        <w:tc>
          <w:tcPr/>
          <w:p>
            <w:pPr>
              <w:pStyle w:val="Compact"/>
              <w:jc w:val="left"/>
            </w:pPr>
            <w:r>
              <w:t xml:space="preserve">Prepared For</w:t>
            </w:r>
          </w:p>
        </w:tc>
        <w:tc>
          <w:tcPr/>
          <w:p>
            <w:pPr>
              <w:pStyle w:val="Compact"/>
              <w:jc w:val="left"/>
            </w:pPr>
            <w:r>
              <w:t xml:space="preserve">Client Name / Corporate Entity (to be confirmed upon acceptance)</w:t>
            </w:r>
          </w:p>
        </w:tc>
      </w:tr>
      <w:tr>
        <w:tc>
          <w:tcPr/>
          <w:p>
            <w:pPr>
              <w:pStyle w:val="Compact"/>
              <w:jc w:val="left"/>
            </w:pPr>
            <w:r>
              <w:t xml:space="preserve">Service Location</w:t>
            </w:r>
          </w:p>
        </w:tc>
        <w:tc>
          <w:tcPr/>
          <w:p>
            <w:pPr>
              <w:pStyle w:val="Compact"/>
              <w:jc w:val="left"/>
            </w:pPr>
            <w:r>
              <w:t xml:space="preserve">Lyon, France – 12 Quai de Serbie, 69009 Lyon, Auvergne-Rhône-Alpes</w:t>
            </w:r>
          </w:p>
        </w:tc>
      </w:tr>
      <w:tr>
        <w:tc>
          <w:tcPr/>
          <w:p>
            <w:pPr>
              <w:pStyle w:val="Compact"/>
              <w:jc w:val="left"/>
            </w:pPr>
            <w:r>
              <w:t xml:space="preserve">Currency</w:t>
            </w:r>
          </w:p>
        </w:tc>
        <w:tc>
          <w:tcPr/>
          <w:p>
            <w:pPr>
              <w:pStyle w:val="Compact"/>
              <w:jc w:val="left"/>
            </w:pPr>
            <w:r>
              <w:t xml:space="preserve">Euro (EUR) – all amounts inclusive of applicable French VAT (TVA) at 20%</w:t>
            </w:r>
          </w:p>
        </w:tc>
      </w:tr>
    </w:tbl>
    <w:bookmarkStart w:id="21" w:name="X0c7581080508d578c26b6d8dfd726c7e3ca5cc9"/>
    <w:p>
      <w:pPr>
        <w:pStyle w:val="Heading2"/>
      </w:pPr>
      <w:r>
        <w:t xml:space="preserve">1. Purpose and Scope of This Quotation Estimate</w:t>
      </w:r>
    </w:p>
    <w:p>
      <w:pPr>
        <w:pStyle w:val="FirstParagraph"/>
      </w:pPr>
      <w:r>
        <w:t xml:space="preserve">This Quotation Estimate document has been prepared in accordance with the professional standards governing banking and financial advisory services in France Lyon. It outlines the comprehensive scope of services to be rendered by our qualified Banker team, based in the Lyon metropolitan area, to the prospective client. The Banker services described herein encompass corporate banking advisory, treasury management, investment structuring, regulatory compliance guidance under French and European Union banking regulations, and bespoke financial planning tailored to the specific operational needs of businesses operating within the Lyon economic zone.</w:t>
      </w:r>
    </w:p>
    <w:p>
      <w:pPr>
        <w:pStyle w:val="BodyText"/>
      </w:pPr>
      <w:r>
        <w:t xml:space="preserve">The Lyon region, as a major financial and commercial hub in southeastern France, presents unique opportunities and regulatory considerations. Our Banker professionals in France Lyon bring extensive local market knowledge, deep relationships with regional financial institutions, and a thorough understanding of the legal and fiscal framework governing banking activities in the Auvergne-Rhône-Alpes region. This Quotation Estimate reflects that localized expertise and the premium service level expected by clients in this distinguished French city.</w:t>
      </w:r>
    </w:p>
    <w:bookmarkEnd w:id="21"/>
    <w:bookmarkStart w:id="22" w:name="detailed-breakdown-of-banker-services"/>
    <w:p>
      <w:pPr>
        <w:pStyle w:val="Heading2"/>
      </w:pPr>
      <w:r>
        <w:t xml:space="preserve">2. Detailed Breakdown of Banker Services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w:t>
            </w:r>
          </w:p>
        </w:tc>
        <w:tc>
          <w:tcPr/>
          <w:p>
            <w:pPr>
              <w:pStyle w:val="Compact"/>
              <w:jc w:val="left"/>
            </w:pPr>
            <w:r>
              <w:t xml:space="preserve">Service Description</w:t>
            </w:r>
          </w:p>
        </w:tc>
        <w:tc>
          <w:tcPr/>
          <w:p>
            <w:pPr>
              <w:pStyle w:val="Compact"/>
              <w:jc w:val="left"/>
            </w:pPr>
            <w:r>
              <w:t xml:space="preserve">Duration / Frequency</w:t>
            </w:r>
          </w:p>
        </w:tc>
        <w:tc>
          <w:tcPr/>
          <w:p>
            <w:pPr>
              <w:pStyle w:val="Compact"/>
              <w:jc w:val="left"/>
            </w:pPr>
            <w:r>
              <w:t xml:space="preserve">Estimated Cost (EUR)</w:t>
            </w:r>
          </w:p>
        </w:tc>
      </w:tr>
      <w:tr>
        <w:tc>
          <w:tcPr/>
          <w:p>
            <w:pPr>
              <w:pStyle w:val="Compact"/>
              <w:jc w:val="left"/>
            </w:pPr>
            <w:r>
              <w:t xml:space="preserve">2.1</w:t>
            </w:r>
          </w:p>
        </w:tc>
        <w:tc>
          <w:tcPr/>
          <w:p>
            <w:pPr>
              <w:pStyle w:val="Compact"/>
              <w:jc w:val="left"/>
            </w:pPr>
            <w:r>
              <w:t xml:space="preserve">Initial Banker Consultation &amp; Financial Health Assessment – Comprehensive review of the client's current banking relationships, cash flow structures, and credit facilities in France Lyon.</w:t>
            </w:r>
          </w:p>
        </w:tc>
        <w:tc>
          <w:tcPr/>
          <w:p>
            <w:pPr>
              <w:pStyle w:val="Compact"/>
              <w:jc w:val="left"/>
            </w:pPr>
            <w:r>
              <w:t xml:space="preserve">One-time (2 full days on-site in Lyon)</w:t>
            </w:r>
          </w:p>
        </w:tc>
        <w:tc>
          <w:tcPr/>
          <w:p>
            <w:pPr>
              <w:pStyle w:val="Compact"/>
              <w:jc w:val="left"/>
            </w:pPr>
            <w:r>
              <w:t xml:space="preserve">€4,800.00</w:t>
            </w:r>
          </w:p>
        </w:tc>
      </w:tr>
      <w:tr>
        <w:tc>
          <w:tcPr/>
          <w:p>
            <w:pPr>
              <w:pStyle w:val="Compact"/>
              <w:jc w:val="left"/>
            </w:pPr>
            <w:r>
              <w:t xml:space="preserve">2.2</w:t>
            </w:r>
          </w:p>
        </w:tc>
        <w:tc>
          <w:tcPr/>
          <w:p>
            <w:pPr>
              <w:pStyle w:val="Compact"/>
              <w:jc w:val="left"/>
            </w:pPr>
            <w:r>
              <w:t xml:space="preserve">Corporate Treasury Management &amp; Liquidity Planning – Ongoing management of working capital, intercompany transfers, and multi-currency operations for the client's Lyon-based operations.</w:t>
            </w:r>
          </w:p>
        </w:tc>
        <w:tc>
          <w:tcPr/>
          <w:p>
            <w:pPr>
              <w:pStyle w:val="Compact"/>
              <w:jc w:val="left"/>
            </w:pPr>
            <w:r>
              <w:t xml:space="preserve">Monthly (12-month engagement)</w:t>
            </w:r>
          </w:p>
        </w:tc>
        <w:tc>
          <w:tcPr/>
          <w:p>
            <w:pPr>
              <w:pStyle w:val="Compact"/>
              <w:jc w:val="left"/>
            </w:pPr>
            <w:r>
              <w:t xml:space="preserve">€3,200.00 / month</w:t>
            </w:r>
          </w:p>
        </w:tc>
      </w:tr>
      <w:tr>
        <w:tc>
          <w:tcPr/>
          <w:p>
            <w:pPr>
              <w:pStyle w:val="Compact"/>
              <w:jc w:val="left"/>
            </w:pPr>
            <w:r>
              <w:t xml:space="preserve">2.3</w:t>
            </w:r>
          </w:p>
        </w:tc>
        <w:tc>
          <w:tcPr/>
          <w:p>
            <w:pPr>
              <w:pStyle w:val="Compact"/>
              <w:jc w:val="left"/>
            </w:pPr>
            <w:r>
              <w:t xml:space="preserve">Investment Structuring &amp; Capital Allocation Advisory – Design and implementation of investment portfolios aligned with French regulatory standards (AMF, ACPR) and the client's risk appetite.</w:t>
            </w:r>
          </w:p>
        </w:tc>
        <w:tc>
          <w:tcPr/>
          <w:p>
            <w:pPr>
              <w:pStyle w:val="Compact"/>
              <w:jc w:val="left"/>
            </w:pPr>
            <w:r>
              <w:t xml:space="preserve">Quarterly reviews (4 sessions per year)</w:t>
            </w:r>
          </w:p>
        </w:tc>
        <w:tc>
          <w:tcPr/>
          <w:p>
            <w:pPr>
              <w:pStyle w:val="Compact"/>
              <w:jc w:val="left"/>
            </w:pPr>
            <w:r>
              <w:t xml:space="preserve">€6,500.00 / session</w:t>
            </w:r>
          </w:p>
        </w:tc>
      </w:tr>
      <w:tr>
        <w:tc>
          <w:tcPr/>
          <w:p>
            <w:pPr>
              <w:pStyle w:val="Compact"/>
              <w:jc w:val="left"/>
            </w:pPr>
            <w:r>
              <w:t xml:space="preserve">2.4</w:t>
            </w:r>
          </w:p>
        </w:tc>
        <w:tc>
          <w:tcPr/>
          <w:p>
            <w:pPr>
              <w:pStyle w:val="Compact"/>
              <w:jc w:val="left"/>
            </w:pPr>
            <w:r>
              <w:t xml:space="preserve">Regulatory Compliance &amp; Anti-Money Laundering (AML) Oversight – Ensuring full compliance with French banking law (Code monétaire et financier), EU MiFID II directives, and local Lyon regulatory requirements.</w:t>
            </w:r>
          </w:p>
        </w:tc>
        <w:tc>
          <w:tcPr/>
          <w:p>
            <w:pPr>
              <w:pStyle w:val="Compact"/>
              <w:jc w:val="left"/>
            </w:pPr>
            <w:r>
              <w:t xml:space="preserve">Continuous (annual retainer)</w:t>
            </w:r>
          </w:p>
        </w:tc>
        <w:tc>
          <w:tcPr/>
          <w:p>
            <w:pPr>
              <w:pStyle w:val="Compact"/>
              <w:jc w:val="left"/>
            </w:pPr>
            <w:r>
              <w:t xml:space="preserve">€12,000.00 / year</w:t>
            </w:r>
          </w:p>
        </w:tc>
      </w:tr>
      <w:tr>
        <w:tc>
          <w:tcPr/>
          <w:p>
            <w:pPr>
              <w:pStyle w:val="Compact"/>
              <w:jc w:val="left"/>
            </w:pPr>
            <w:r>
              <w:t xml:space="preserve">2.5</w:t>
            </w:r>
          </w:p>
        </w:tc>
        <w:tc>
          <w:tcPr/>
          <w:p>
            <w:pPr>
              <w:pStyle w:val="Compact"/>
              <w:jc w:val="left"/>
            </w:pPr>
            <w:r>
              <w:t xml:space="preserve">Credit Facility Negotiation &amp; Bank Relationship Management – Acting as the client's dedicated Banker liaison with French and international banking institutions to negotiate optimal lending terms, overdraft facilities, and trade finance instruments.</w:t>
            </w:r>
          </w:p>
        </w:tc>
        <w:tc>
          <w:tcPr/>
          <w:p>
            <w:pPr>
              <w:pStyle w:val="Compact"/>
              <w:jc w:val="left"/>
            </w:pPr>
            <w:r>
              <w:t xml:space="preserve">As required (estimated 6 engagements per year)</w:t>
            </w:r>
          </w:p>
        </w:tc>
        <w:tc>
          <w:tcPr/>
          <w:p>
            <w:pPr>
              <w:pStyle w:val="Compact"/>
              <w:jc w:val="left"/>
            </w:pPr>
            <w:r>
              <w:t xml:space="preserve">€2,800.00 / engagement</w:t>
            </w:r>
          </w:p>
        </w:tc>
      </w:tr>
      <w:tr>
        <w:tc>
          <w:tcPr/>
          <w:p>
            <w:pPr>
              <w:pStyle w:val="Compact"/>
              <w:jc w:val="left"/>
            </w:pPr>
            <w:r>
              <w:t xml:space="preserve">2.6</w:t>
            </w:r>
          </w:p>
        </w:tc>
        <w:tc>
          <w:tcPr/>
          <w:p>
            <w:pPr>
              <w:pStyle w:val="Compact"/>
              <w:jc w:val="left"/>
            </w:pPr>
            <w:r>
              <w:t xml:space="preserve">Annual Financial Reporting &amp; Tax Optimization Advisory – Preparation of year-end banking reports, coordination with French tax authorities (Direction Générale des Finances Publiques), and identification of tax-efficient banking structures available in Lyon.</w:t>
            </w:r>
          </w:p>
        </w:tc>
        <w:tc>
          <w:tcPr/>
          <w:p>
            <w:pPr>
              <w:pStyle w:val="Compact"/>
              <w:jc w:val="left"/>
            </w:pPr>
            <w:r>
              <w:t xml:space="preserve">Annual (January – March)</w:t>
            </w:r>
          </w:p>
        </w:tc>
        <w:tc>
          <w:tcPr/>
          <w:p>
            <w:pPr>
              <w:pStyle w:val="Compact"/>
              <w:jc w:val="left"/>
            </w:pPr>
            <w:r>
              <w:t xml:space="preserve">€7,500.00</w:t>
            </w:r>
          </w:p>
        </w:tc>
      </w:tr>
      <w:tr>
        <w:tc>
          <w:tcPr/>
          <w:p>
            <w:pPr>
              <w:pStyle w:val="Compact"/>
              <w:jc w:val="left"/>
            </w:pPr>
            <w:r>
              <w:t xml:space="preserve">2.7</w:t>
            </w:r>
          </w:p>
        </w:tc>
        <w:tc>
          <w:tcPr/>
          <w:p>
            <w:pPr>
              <w:pStyle w:val="Compact"/>
              <w:jc w:val="left"/>
            </w:pPr>
            <w:r>
              <w:t xml:space="preserve">Emergency Banker Support &amp; Crisis Financial Management – 24/7 availability for urgent banking matters, liquidity crises, or regulatory interventions specific to the France Lyon jurisdiction.</w:t>
            </w:r>
          </w:p>
        </w:tc>
        <w:tc>
          <w:tcPr/>
          <w:p>
            <w:pPr>
              <w:pStyle w:val="Compact"/>
              <w:jc w:val="left"/>
            </w:pPr>
            <w:r>
              <w:t xml:space="preserve">On-call (included in retainer)</w:t>
            </w:r>
          </w:p>
        </w:tc>
        <w:tc>
          <w:tcPr/>
          <w:p>
            <w:pPr>
              <w:pStyle w:val="Compact"/>
              <w:jc w:val="left"/>
            </w:pPr>
            <w:r>
              <w:t xml:space="preserve">€1,500.00 / incident</w:t>
            </w:r>
          </w:p>
        </w:tc>
      </w:tr>
    </w:tbl>
    <w:bookmarkEnd w:id="22"/>
    <w:bookmarkStart w:id="23" w:name="summary-of-estimated-costs"/>
    <w:p>
      <w:pPr>
        <w:pStyle w:val="Heading2"/>
      </w:pPr>
      <w:r>
        <w:t xml:space="preserve">3. Summary of Estimated Costs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Cost Category</w:t>
            </w:r>
          </w:p>
        </w:tc>
        <w:tc>
          <w:tcPr/>
          <w:p>
            <w:pPr>
              <w:pStyle w:val="Compact"/>
              <w:jc w:val="left"/>
            </w:pPr>
            <w:r>
              <w:t xml:space="preserve">Amount (EUR)</w:t>
            </w:r>
          </w:p>
        </w:tc>
      </w:tr>
      <w:tr>
        <w:tc>
          <w:tcPr/>
          <w:p>
            <w:pPr>
              <w:pStyle w:val="Compact"/>
              <w:jc w:val="left"/>
            </w:pPr>
            <w:r>
              <w:t xml:space="preserve">One-time Initial Consultation (Item 2.1)</w:t>
            </w:r>
          </w:p>
        </w:tc>
        <w:tc>
          <w:tcPr/>
          <w:p>
            <w:pPr>
              <w:pStyle w:val="Compact"/>
              <w:jc w:val="left"/>
            </w:pPr>
            <w:r>
              <w:t xml:space="preserve">€4,800.00</w:t>
            </w:r>
          </w:p>
        </w:tc>
      </w:tr>
      <w:tr>
        <w:tc>
          <w:tcPr/>
          <w:p>
            <w:pPr>
              <w:pStyle w:val="Compact"/>
              <w:jc w:val="left"/>
            </w:pPr>
            <w:r>
              <w:t xml:space="preserve">Monthly Treasury Management – 12 months (Item 2.2)</w:t>
            </w:r>
          </w:p>
        </w:tc>
        <w:tc>
          <w:tcPr/>
          <w:p>
            <w:pPr>
              <w:pStyle w:val="Compact"/>
              <w:jc w:val="left"/>
            </w:pPr>
            <w:r>
              <w:t xml:space="preserve">€38,400.00</w:t>
            </w:r>
          </w:p>
        </w:tc>
      </w:tr>
      <w:tr>
        <w:tc>
          <w:tcPr/>
          <w:p>
            <w:pPr>
              <w:pStyle w:val="Compact"/>
              <w:jc w:val="left"/>
            </w:pPr>
            <w:r>
              <w:t xml:space="preserve">Quarterly Investment Advisory – 4 sessions (Item 2.3)</w:t>
            </w:r>
          </w:p>
        </w:tc>
        <w:tc>
          <w:tcPr/>
          <w:p>
            <w:pPr>
              <w:pStyle w:val="Compact"/>
              <w:jc w:val="left"/>
            </w:pPr>
            <w:r>
              <w:t xml:space="preserve">€26,000.00</w:t>
            </w:r>
          </w:p>
        </w:tc>
      </w:tr>
      <w:tr>
        <w:tc>
          <w:tcPr/>
          <w:p>
            <w:pPr>
              <w:pStyle w:val="Compact"/>
              <w:jc w:val="left"/>
            </w:pPr>
            <w:r>
              <w:t xml:space="preserve">Annual Compliance Retainer (Item 2.4)</w:t>
            </w:r>
          </w:p>
        </w:tc>
        <w:tc>
          <w:tcPr/>
          <w:p>
            <w:pPr>
              <w:pStyle w:val="Compact"/>
              <w:jc w:val="left"/>
            </w:pPr>
            <w:r>
              <w:t xml:space="preserve">€12,000.00</w:t>
            </w:r>
          </w:p>
        </w:tc>
      </w:tr>
      <w:tr>
        <w:tc>
          <w:tcPr/>
          <w:p>
            <w:pPr>
              <w:pStyle w:val="Compact"/>
              <w:jc w:val="left"/>
            </w:pPr>
            <w:r>
              <w:t xml:space="preserve">Credit Negotiation – 6 engagements (Item 2.5)</w:t>
            </w:r>
          </w:p>
        </w:tc>
        <w:tc>
          <w:tcPr/>
          <w:p>
            <w:pPr>
              <w:pStyle w:val="Compact"/>
              <w:jc w:val="left"/>
            </w:pPr>
            <w:r>
              <w:t xml:space="preserve">€16,800.00</w:t>
            </w:r>
          </w:p>
        </w:tc>
      </w:tr>
      <w:tr>
        <w:tc>
          <w:tcPr/>
          <w:p>
            <w:pPr>
              <w:pStyle w:val="Compact"/>
              <w:jc w:val="left"/>
            </w:pPr>
            <w:r>
              <w:t xml:space="preserve">Annual Reporting &amp; Tax Advisory (Item 2.6)</w:t>
            </w:r>
          </w:p>
        </w:tc>
        <w:tc>
          <w:tcPr/>
          <w:p>
            <w:pPr>
              <w:pStyle w:val="Compact"/>
              <w:jc w:val="left"/>
            </w:pPr>
            <w:r>
              <w:t xml:space="preserve">€7,500.00</w:t>
            </w:r>
          </w:p>
        </w:tc>
      </w:tr>
      <w:tr>
        <w:tc>
          <w:tcPr/>
          <w:p>
            <w:pPr>
              <w:pStyle w:val="Compact"/>
              <w:jc w:val="left"/>
            </w:pPr>
            <w:r>
              <w:t xml:space="preserve">Emergency Support – Estimated 2 incidents (Item 2.7)</w:t>
            </w:r>
          </w:p>
        </w:tc>
        <w:tc>
          <w:tcPr/>
          <w:p>
            <w:pPr>
              <w:pStyle w:val="Compact"/>
              <w:jc w:val="left"/>
            </w:pPr>
            <w:r>
              <w:t xml:space="preserve">€3,000.00</w:t>
            </w:r>
          </w:p>
        </w:tc>
      </w:tr>
      <w:tr>
        <w:tc>
          <w:tcPr/>
          <w:p>
            <w:pPr>
              <w:pStyle w:val="Compact"/>
              <w:jc w:val="left"/>
            </w:pPr>
            <w:r>
              <w:t xml:space="preserve">Subtotal (before VAT)</w:t>
            </w:r>
          </w:p>
        </w:tc>
        <w:tc>
          <w:tcPr/>
          <w:p>
            <w:pPr>
              <w:pStyle w:val="Compact"/>
              <w:jc w:val="left"/>
            </w:pPr>
            <w:r>
              <w:t xml:space="preserve">€108,500.00</w:t>
            </w:r>
          </w:p>
        </w:tc>
      </w:tr>
      <w:tr>
        <w:tc>
          <w:tcPr/>
          <w:p>
            <w:pPr>
              <w:pStyle w:val="Compact"/>
              <w:jc w:val="left"/>
            </w:pPr>
            <w:r>
              <w:t xml:space="preserve">French VAT (TVA) at 20%</w:t>
            </w:r>
          </w:p>
        </w:tc>
        <w:tc>
          <w:tcPr/>
          <w:p>
            <w:pPr>
              <w:pStyle w:val="Compact"/>
              <w:jc w:val="left"/>
            </w:pPr>
            <w:r>
              <w:t xml:space="preserve">€21,700.00</w:t>
            </w:r>
          </w:p>
        </w:tc>
      </w:tr>
      <w:tr>
        <w:tc>
          <w:tcPr/>
          <w:p>
            <w:pPr>
              <w:pStyle w:val="Compact"/>
              <w:jc w:val="left"/>
            </w:pPr>
            <w:r>
              <w:t xml:space="preserve">TOTAL ESTIMATED COST (incl. VAT)</w:t>
            </w:r>
          </w:p>
        </w:tc>
        <w:tc>
          <w:tcPr/>
          <w:p>
            <w:pPr>
              <w:pStyle w:val="Compact"/>
              <w:jc w:val="left"/>
            </w:pPr>
            <w:r>
              <w:t xml:space="preserve">€130,200.00</w:t>
            </w:r>
          </w:p>
        </w:tc>
      </w:tr>
    </w:tbl>
    <w:p>
      <w:pPr>
        <w:pStyle w:val="BodyText"/>
      </w:pPr>
      <w:r>
        <w:rPr>
          <w:bCs/>
          <w:b/>
        </w:rPr>
        <w:t xml:space="preserve">Important Note:</w:t>
      </w:r>
      <w:r>
        <w:t xml:space="preserve"> </w:t>
      </w:r>
      <w:r>
        <w:t xml:space="preserve">This Quotation Estimate is a good-faith projection based on the current scope of Banker services requested. Actual costs may vary depending on the complexity of transactions, the number of banking counterparties involved in France Lyon, and any changes in French or EU regulatory requirements during the engagement period. All figures are estimates and do not constitute a binding financial commitment until a formal service agreement is executed by both parties.</w:t>
      </w:r>
    </w:p>
    <w:bookmarkEnd w:id="23"/>
    <w:bookmarkStart w:id="24" w:name="X985eb999f0cfcda5f1af1a675bf0b7c2e0a6c64"/>
    <w:p>
      <w:pPr>
        <w:pStyle w:val="Heading2"/>
      </w:pPr>
      <w:r>
        <w:t xml:space="preserve">4. Terms and Conditions of This Quotation Estimate</w:t>
      </w:r>
    </w:p>
    <w:p>
      <w:pPr>
        <w:numPr>
          <w:ilvl w:val="0"/>
          <w:numId w:val="1001"/>
        </w:numPr>
        <w:pStyle w:val="Compact"/>
      </w:pPr>
      <w:r>
        <w:t xml:space="preserve">This Quotation Estimate is valid for a period of thirty (30) days from the date of issue. Upon expiry, all rates and service terms must be reconfirmed in writing by our Banker team in France Lyon.</w:t>
      </w:r>
    </w:p>
    <w:p>
      <w:pPr>
        <w:numPr>
          <w:ilvl w:val="0"/>
          <w:numId w:val="1001"/>
        </w:numPr>
        <w:pStyle w:val="Compact"/>
      </w:pPr>
      <w:r>
        <w:t xml:space="preserve">Payment terms: 50% of the total estimated cost is due upon signing of the service agreement; the remaining 50% is payable in equal monthly installments over the twelve-month engagement period. Invoicing shall be conducted in accordance with French commercial law (Code de commerce).</w:t>
      </w:r>
    </w:p>
    <w:p>
      <w:pPr>
        <w:numPr>
          <w:ilvl w:val="0"/>
          <w:numId w:val="1001"/>
        </w:numPr>
        <w:pStyle w:val="Compact"/>
      </w:pPr>
      <w:r>
        <w:t xml:space="preserve">All Banker services shall be performed in strict compliance with the regulations of the Autorité de Contrôle Prudentiel et de Résolution (ACPR) and the Banque de France. Our Lyon-based Banker professionals hold the requisite professional certifications and are registered with the relevant French professional bodies.</w:t>
      </w:r>
    </w:p>
    <w:p>
      <w:pPr>
        <w:numPr>
          <w:ilvl w:val="0"/>
          <w:numId w:val="1001"/>
        </w:numPr>
        <w:pStyle w:val="Compact"/>
      </w:pPr>
      <w:r>
        <w:t xml:space="preserve">The client agrees to provide all necessary financial documentation, corporate governance records, and regulatory filings in a timely manner to enable the Banker to perform the services described in this Quotation Estimate without delay.</w:t>
      </w:r>
    </w:p>
    <w:p>
      <w:pPr>
        <w:numPr>
          <w:ilvl w:val="0"/>
          <w:numId w:val="1001"/>
        </w:numPr>
        <w:pStyle w:val="Compact"/>
      </w:pPr>
      <w:r>
        <w:t xml:space="preserve">Confidentiality: All financial data, banking structures, and strategic information shared in the course of this engagement shall be treated as strictly confidential in accordance with French data protection law (Loi Informatique et Libertés) and the EU General Data Protection Regulation (GDPR).</w:t>
      </w:r>
    </w:p>
    <w:p>
      <w:pPr>
        <w:numPr>
          <w:ilvl w:val="0"/>
          <w:numId w:val="1001"/>
        </w:numPr>
        <w:pStyle w:val="Compact"/>
      </w:pPr>
      <w:r>
        <w:t xml:space="preserve">Termination: Either party may terminate the service agreement with a written notice of sixty (60) days. In the event of early termination, all fees for services rendered up to the termination date shall remain payable.</w:t>
      </w:r>
    </w:p>
    <w:p>
      <w:pPr>
        <w:numPr>
          <w:ilvl w:val="0"/>
          <w:numId w:val="1001"/>
        </w:numPr>
        <w:pStyle w:val="Compact"/>
      </w:pPr>
      <w:r>
        <w:t xml:space="preserve">Dispute resolution: Any dispute arising from this Quotation Estimate or the subsequent service agreement shall be submitted to the competent commercial courts of Lyon, France, in accordance with French procedural law.</w:t>
      </w:r>
    </w:p>
    <w:p>
      <w:pPr>
        <w:numPr>
          <w:ilvl w:val="0"/>
          <w:numId w:val="1001"/>
        </w:numPr>
        <w:pStyle w:val="Compact"/>
      </w:pPr>
      <w:r>
        <w:t xml:space="preserve">This Quotation Estimate does not constitute a guarantee of financial performance, investment returns, or credit approval. The Banker acts in an advisory capacity and does not assume liability for third-party decisions by banking institutions.</w:t>
      </w:r>
    </w:p>
    <w:bookmarkEnd w:id="24"/>
    <w:bookmarkStart w:id="25" w:name="acceptance"/>
    <w:p>
      <w:pPr>
        <w:pStyle w:val="Heading2"/>
      </w:pPr>
      <w:r>
        <w:t xml:space="preserve">5. Acceptance</w:t>
      </w:r>
    </w:p>
    <w:p>
      <w:pPr>
        <w:pStyle w:val="FirstParagraph"/>
      </w:pPr>
      <w:r>
        <w:t xml:space="preserve">By signing below, the client acknowledges receipt of this Quotation Estimate for Banker services in France Lyon and agrees to the terms, conditions, and estimated costs set forth herein. This acceptance shall trigger the preparation of a formal Service Level Agreement (SLA) and Master Banking Advisory Contract within ten (10) business days.</w:t>
      </w:r>
    </w:p>
    <w:p>
      <w:pPr>
        <w:pStyle w:val="BodyText"/>
      </w:pPr>
      <w:r>
        <w:rPr>
          <w:bCs/>
          <w:b/>
        </w:rPr>
        <w:t xml:space="preserve">For the Service Provider (Banker – Lyon Office)</w:t>
      </w:r>
      <w:r>
        <w:br/>
      </w:r>
      <w:r>
        <w:t xml:space="preserve">Name: M. Laurent Deschamps</w:t>
      </w:r>
      <w:r>
        <w:br/>
      </w:r>
      <w:r>
        <w:t xml:space="preserve">Title: Senior Banker &amp; Financial Consultant</w:t>
      </w:r>
      <w:r>
        <w:br/>
      </w:r>
      <w:r>
        <w:t xml:space="preserve">Signature: _________________________</w:t>
      </w:r>
      <w:r>
        <w:br/>
      </w:r>
      <w:r>
        <w:t xml:space="preserve">Date: _________________________</w:t>
      </w:r>
    </w:p>
    <w:p>
      <w:pPr>
        <w:pStyle w:val="BodyText"/>
      </w:pPr>
      <w:r>
        <w:rPr>
          <w:bCs/>
          <w:b/>
        </w:rPr>
        <w:t xml:space="preserve">For the Client</w:t>
      </w:r>
      <w:r>
        <w:br/>
      </w:r>
      <w:r>
        <w:t xml:space="preserve">Name: _________________________</w:t>
      </w:r>
      <w:r>
        <w:br/>
      </w:r>
      <w:r>
        <w:t xml:space="preserve">Title: _________________________</w:t>
      </w:r>
      <w:r>
        <w:br/>
      </w:r>
      <w:r>
        <w:t xml:space="preserve">Signature: _________________________</w:t>
      </w:r>
      <w:r>
        <w:br/>
      </w:r>
      <w:r>
        <w:t xml:space="preserve">Date: _________________________</w:t>
      </w:r>
    </w:p>
    <w:p>
      <w:pPr>
        <w:pStyle w:val="BodyText"/>
      </w:pPr>
      <w:r>
        <w:t xml:space="preserve">Quotation Estimate QTE-BNK-LYON-2025-04782 | Banker Services – France Lyon | Page 1 of 1</w:t>
      </w:r>
    </w:p>
    <w:p>
      <w:pPr>
        <w:pStyle w:val="BodyText"/>
      </w:pPr>
      <w:r>
        <w:t xml:space="preserve">This document was prepared in Lyon, France, in accordance with French commercial and banking regulations. All rights reserved. © 2025 Lyon Banking Advisory Group.</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Banker Services – France Lyon</dc:title>
  <dc:creator/>
  <dc:language>en</dc:language>
  <cp:keywords/>
  <dcterms:created xsi:type="dcterms:W3CDTF">2026-10-10T09:13:53Z</dcterms:created>
  <dcterms:modified xsi:type="dcterms:W3CDTF">2026-10-10T09:13:53Z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