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Banker Services — France Paris</w:t>
      </w:r>
    </w:p>
    <w:p>
      <w:pPr>
        <w:pStyle w:val="BodyText"/>
      </w:pPr>
      <w:r>
        <w:t xml:space="preserve">Document Reference: QE-2025-FR-0847  |  Issued in France Paris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QE-2025-FR-0847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c>
          <w:tcPr/>
          <w:p>
            <w:pPr>
              <w:pStyle w:val="Compact"/>
              <w:jc w:val="left"/>
            </w:pPr>
            <w:r>
              <w:t xml:space="preserve">Currency</w:t>
            </w:r>
          </w:p>
        </w:tc>
        <w:tc>
          <w:tcPr/>
          <w:p>
            <w:pPr>
              <w:pStyle w:val="Compact"/>
              <w:jc w:val="left"/>
            </w:pPr>
            <w:r>
              <w:t xml:space="preserve">Euro (EUR) — France Paris standard</w:t>
            </w:r>
          </w:p>
        </w:tc>
      </w:tr>
      <w:tr>
        <w:tc>
          <w:tcPr/>
          <w:p>
            <w:pPr>
              <w:pStyle w:val="Compact"/>
              <w:jc w:val="left"/>
            </w:pPr>
            <w:r>
              <w:t xml:space="preserve">Prepared By</w:t>
            </w:r>
          </w:p>
        </w:tc>
        <w:tc>
          <w:tcPr/>
          <w:p>
            <w:pPr>
              <w:pStyle w:val="Compact"/>
              <w:jc w:val="left"/>
            </w:pPr>
            <w:r>
              <w:t xml:space="preserve">M. Laurent Dubois, Senior Banker Consultant</w:t>
            </w:r>
          </w:p>
        </w:tc>
        <w:tc>
          <w:tcPr/>
          <w:p>
            <w:pPr>
              <w:pStyle w:val="Compact"/>
              <w:jc w:val="left"/>
            </w:pPr>
            <w:r>
              <w:t xml:space="preserve">Location</w:t>
            </w:r>
          </w:p>
        </w:tc>
        <w:tc>
          <w:tcPr/>
          <w:p>
            <w:pPr>
              <w:pStyle w:val="Compact"/>
              <w:jc w:val="left"/>
            </w:pPr>
            <w:r>
              <w:t xml:space="preserve">12 Rue de la Bourse, 75002 France Paris</w:t>
            </w:r>
          </w:p>
        </w:tc>
      </w:tr>
      <w:tr>
        <w:tc>
          <w:tcPr/>
          <w:p>
            <w:pPr>
              <w:pStyle w:val="Compact"/>
              <w:jc w:val="left"/>
            </w:pPr>
            <w:r>
              <w:t xml:space="preserve">Client Name</w:t>
            </w:r>
          </w:p>
        </w:tc>
        <w:tc>
          <w:tcPr/>
          <w:p>
            <w:pPr>
              <w:pStyle w:val="Compact"/>
              <w:jc w:val="left"/>
            </w:pPr>
            <w:r>
              <w:t xml:space="preserve">Madame Sophie Renard</w:t>
            </w:r>
          </w:p>
        </w:tc>
        <w:tc>
          <w:tcPr/>
          <w:p>
            <w:pPr>
              <w:pStyle w:val="Compact"/>
              <w:jc w:val="left"/>
            </w:pPr>
            <w:r>
              <w:t xml:space="preserve">Client Address</w:t>
            </w:r>
          </w:p>
        </w:tc>
        <w:tc>
          <w:tcPr/>
          <w:p>
            <w:pPr>
              <w:pStyle w:val="Compact"/>
              <w:jc w:val="left"/>
            </w:pPr>
            <w:r>
              <w:t xml:space="preserve">45 Avenue des Champs-Élysées, 75008 France Paris</w:t>
            </w:r>
          </w:p>
        </w:tc>
      </w:tr>
      <w:tr>
        <w:tc>
          <w:tcPr/>
          <w:p>
            <w:pPr>
              <w:pStyle w:val="Compact"/>
              <w:jc w:val="left"/>
            </w:pPr>
            <w:r>
              <w:t xml:space="preserve">Client Reference</w:t>
            </w:r>
          </w:p>
        </w:tc>
        <w:tc>
          <w:tcPr/>
          <w:p>
            <w:pPr>
              <w:pStyle w:val="Compact"/>
              <w:jc w:val="left"/>
            </w:pPr>
            <w:r>
              <w:t xml:space="preserve">CR-2025-1192</w:t>
            </w:r>
          </w:p>
        </w:tc>
        <w:tc>
          <w:tcPr/>
          <w:p>
            <w:pPr>
              <w:pStyle w:val="Compact"/>
              <w:jc w:val="left"/>
            </w:pPr>
            <w:r>
              <w:t xml:space="preserve">Service Category</w:t>
            </w:r>
          </w:p>
        </w:tc>
        <w:tc>
          <w:tcPr/>
          <w:p>
            <w:pPr>
              <w:pStyle w:val="Compact"/>
              <w:jc w:val="left"/>
            </w:pPr>
            <w:r>
              <w:t xml:space="preserve">Private Banker Advisory &amp; Portfolio Management</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Madame Sophie Renard with a comprehensive and transparent breakdown of the professional fees associated with the engagement of a dedicated</w:t>
      </w:r>
      <w:r>
        <w:t xml:space="preserve"> </w:t>
      </w:r>
      <w:r>
        <w:t xml:space="preserve">Banker</w:t>
      </w:r>
      <w:r>
        <w:t xml:space="preserve"> </w:t>
      </w:r>
      <w:r>
        <w:t xml:space="preserve">for private wealth management, corporate advisory, and financial structuring services. All services described herein shall be delivered in accordance with the regulatory framework governing banking operations in</w:t>
      </w:r>
      <w:r>
        <w:t xml:space="preserve"> </w:t>
      </w:r>
      <w:r>
        <w:t xml:space="preserve">France Paris</w:t>
      </w:r>
      <w:r>
        <w:t xml:space="preserve">, under the supervision of the Autorité de Contrôle Prudentiel et de Résolution (ACPR) and in full compliance with the Code monétaire et financier of the French Republic.</w:t>
      </w:r>
    </w:p>
    <w:p>
      <w:pPr>
        <w:pStyle w:val="BodyText"/>
      </w:pPr>
      <w:r>
        <w:t xml:space="preserve">The</w:t>
      </w:r>
      <w:r>
        <w:t xml:space="preserve"> </w:t>
      </w:r>
      <w:r>
        <w:t xml:space="preserve">Banker</w:t>
      </w:r>
      <w:r>
        <w:t xml:space="preserve"> </w:t>
      </w:r>
      <w:r>
        <w:t xml:space="preserve">assigned to this engagement will operate from our principal office in the financial district of</w:t>
      </w:r>
      <w:r>
        <w:t xml:space="preserve"> </w:t>
      </w:r>
      <w:r>
        <w:t xml:space="preserve">France Paris</w:t>
      </w:r>
      <w:r>
        <w:t xml:space="preserve"> </w:t>
      </w:r>
      <w:r>
        <w:t xml:space="preserve">(2nd arrondissement) and will provide on-site consultations at the client's premises within the Paris metropolitan area as required. This</w:t>
      </w:r>
      <w:r>
        <w:t xml:space="preserve"> </w:t>
      </w:r>
      <w:r>
        <w:t xml:space="preserve">Quotation Estimate</w:t>
      </w:r>
      <w:r>
        <w:t xml:space="preserve"> </w:t>
      </w:r>
      <w:r>
        <w:t xml:space="preserve">reflects the current market rates applicable to banker services in</w:t>
      </w:r>
      <w:r>
        <w:t xml:space="preserve"> </w:t>
      </w:r>
      <w:r>
        <w:t xml:space="preserve">France Paris</w:t>
      </w:r>
      <w:r>
        <w:t xml:space="preserve"> </w:t>
      </w:r>
      <w:r>
        <w:t xml:space="preserve">as of the date of issue.</w:t>
      </w:r>
    </w:p>
    <w:bookmarkEnd w:id="21"/>
    <w:bookmarkStart w:id="22" w:name="scope-of-banker-services"/>
    <w:p>
      <w:pPr>
        <w:pStyle w:val="Heading2"/>
      </w:pPr>
      <w:r>
        <w:t xml:space="preserve">2. Scope of Banker Services</w:t>
      </w:r>
    </w:p>
    <w:p>
      <w:pPr>
        <w:pStyle w:val="FirstParagraph"/>
      </w:pPr>
      <w:r>
        <w:t xml:space="preserve">The following</w:t>
      </w:r>
      <w:r>
        <w:t xml:space="preserve"> </w:t>
      </w:r>
      <w:r>
        <w:t xml:space="preserve">Banker</w:t>
      </w:r>
      <w:r>
        <w:t xml:space="preserve"> </w:t>
      </w:r>
      <w:r>
        <w:t xml:space="preserve">services are included in this</w:t>
      </w:r>
      <w:r>
        <w:t xml:space="preserve"> </w:t>
      </w:r>
      <w:r>
        <w:t xml:space="preserve">Quotation Estimate</w:t>
      </w:r>
      <w:r>
        <w:t xml:space="preserve"> </w:t>
      </w:r>
      <w:r>
        <w:t xml:space="preserve">for delivery in</w:t>
      </w:r>
      <w:r>
        <w:t xml:space="preserve"> </w:t>
      </w:r>
      <w:r>
        <w:t xml:space="preserve">France Paris</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Banker Service</w:t>
            </w:r>
          </w:p>
        </w:tc>
        <w:tc>
          <w:tcPr/>
          <w:p>
            <w:pPr>
              <w:pStyle w:val="Compact"/>
              <w:jc w:val="left"/>
            </w:pPr>
            <w:r>
              <w:t xml:space="preserve">Duration / Frequency</w:t>
            </w:r>
          </w:p>
        </w:tc>
        <w:tc>
          <w:tcPr/>
          <w:p>
            <w:pPr>
              <w:pStyle w:val="Compact"/>
              <w:jc w:val="left"/>
            </w:pPr>
            <w:r>
              <w:t xml:space="preserve">Unit</w:t>
            </w:r>
          </w:p>
        </w:tc>
        <w:tc>
          <w:tcPr/>
          <w:p>
            <w:pPr>
              <w:pStyle w:val="Compact"/>
              <w:jc w:val="left"/>
            </w:pPr>
            <w:r>
              <w:t xml:space="preserve">Estimated Cost (EUR)</w:t>
            </w:r>
          </w:p>
        </w:tc>
      </w:tr>
      <w:tr>
        <w:tc>
          <w:tcPr/>
          <w:p>
            <w:pPr>
              <w:pStyle w:val="Compact"/>
              <w:jc w:val="left"/>
            </w:pPr>
            <w:r>
              <w:t xml:space="preserve">01</w:t>
            </w:r>
          </w:p>
        </w:tc>
        <w:tc>
          <w:tcPr/>
          <w:p>
            <w:pPr>
              <w:pStyle w:val="Compact"/>
              <w:jc w:val="left"/>
            </w:pPr>
            <w:r>
              <w:t xml:space="preserve">Initial financial audit and portfolio assessment conducted by the assigned Banker at the client's residence in France Paris</w:t>
            </w:r>
          </w:p>
        </w:tc>
        <w:tc>
          <w:tcPr/>
          <w:p>
            <w:pPr>
              <w:pStyle w:val="Compact"/>
              <w:jc w:val="left"/>
            </w:pPr>
            <w:r>
              <w:t xml:space="preserve">One-time</w:t>
            </w:r>
          </w:p>
        </w:tc>
        <w:tc>
          <w:tcPr/>
          <w:p>
            <w:pPr>
              <w:pStyle w:val="Compact"/>
              <w:jc w:val="left"/>
            </w:pPr>
            <w:r>
              <w:t xml:space="preserve">Per session (4 hrs)</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Monthly private banker advisory meetings for wealth management strategy review and rebalancing recommendations</w:t>
            </w:r>
          </w:p>
        </w:tc>
        <w:tc>
          <w:tcPr/>
          <w:p>
            <w:pPr>
              <w:pStyle w:val="Compact"/>
              <w:jc w:val="left"/>
            </w:pPr>
            <w:r>
              <w:t xml:space="preserve">12 months</w:t>
            </w:r>
          </w:p>
        </w:tc>
        <w:tc>
          <w:tcPr/>
          <w:p>
            <w:pPr>
              <w:pStyle w:val="Compact"/>
              <w:jc w:val="left"/>
            </w:pPr>
            <w:r>
              <w:t xml:space="preserve">Per meeting (2 hrs)</w:t>
            </w:r>
          </w:p>
        </w:tc>
        <w:tc>
          <w:tcPr/>
          <w:p>
            <w:pPr>
              <w:pStyle w:val="Compact"/>
              <w:jc w:val="left"/>
            </w:pPr>
            <w:r>
              <w:t xml:space="preserve">€950.00 / month</w:t>
            </w:r>
          </w:p>
        </w:tc>
      </w:tr>
      <w:tr>
        <w:tc>
          <w:tcPr/>
          <w:p>
            <w:pPr>
              <w:pStyle w:val="Compact"/>
              <w:jc w:val="left"/>
            </w:pPr>
            <w:r>
              <w:t xml:space="preserve">03</w:t>
            </w:r>
          </w:p>
        </w:tc>
        <w:tc>
          <w:tcPr/>
          <w:p>
            <w:pPr>
              <w:pStyle w:val="Compact"/>
              <w:jc w:val="left"/>
            </w:pPr>
            <w:r>
              <w:t xml:space="preserve">Corporate banking liaison and account structuring services for the client's business entity registered in France Paris</w:t>
            </w:r>
          </w:p>
        </w:tc>
        <w:tc>
          <w:tcPr/>
          <w:p>
            <w:pPr>
              <w:pStyle w:val="Compact"/>
              <w:jc w:val="left"/>
            </w:pPr>
            <w:r>
              <w:t xml:space="preserve">12 months</w:t>
            </w:r>
          </w:p>
        </w:tc>
        <w:tc>
          <w:tcPr/>
          <w:p>
            <w:pPr>
              <w:pStyle w:val="Compact"/>
              <w:jc w:val="left"/>
            </w:pPr>
            <w:r>
              <w:t xml:space="preserve">Per annum</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Tax-optimised investment structuring in compliance with French fiscal regulations (Code général des impôts) as advised by the Banker</w:t>
            </w:r>
          </w:p>
        </w:tc>
        <w:tc>
          <w:tcPr/>
          <w:p>
            <w:pPr>
              <w:pStyle w:val="Compact"/>
              <w:jc w:val="left"/>
            </w:pPr>
            <w:r>
              <w:t xml:space="preserve">One-time</w:t>
            </w:r>
          </w:p>
        </w:tc>
        <w:tc>
          <w:tcPr/>
          <w:p>
            <w:pPr>
              <w:pStyle w:val="Compact"/>
              <w:jc w:val="left"/>
            </w:pPr>
            <w:r>
              <w:t xml:space="preserve">Per dossier</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Quarterly performance reporting and risk assessment prepared by the Banker for the client's consolidated portfolio</w:t>
            </w:r>
          </w:p>
        </w:tc>
        <w:tc>
          <w:tcPr/>
          <w:p>
            <w:pPr>
              <w:pStyle w:val="Compact"/>
              <w:jc w:val="left"/>
            </w:pPr>
            <w:r>
              <w:t xml:space="preserve">4 reports / year</w:t>
            </w:r>
          </w:p>
        </w:tc>
        <w:tc>
          <w:tcPr/>
          <w:p>
            <w:pPr>
              <w:pStyle w:val="Compact"/>
              <w:jc w:val="left"/>
            </w:pPr>
            <w:r>
              <w:t xml:space="preserve">Per report</w:t>
            </w:r>
          </w:p>
        </w:tc>
        <w:tc>
          <w:tcPr/>
          <w:p>
            <w:pPr>
              <w:pStyle w:val="Compact"/>
              <w:jc w:val="left"/>
            </w:pPr>
            <w:r>
              <w:t xml:space="preserve">€780.00 / report</w:t>
            </w:r>
          </w:p>
        </w:tc>
      </w:tr>
      <w:tr>
        <w:tc>
          <w:tcPr/>
          <w:p>
            <w:pPr>
              <w:pStyle w:val="Compact"/>
              <w:jc w:val="left"/>
            </w:pPr>
            <w:r>
              <w:t xml:space="preserve">06</w:t>
            </w:r>
          </w:p>
        </w:tc>
        <w:tc>
          <w:tcPr/>
          <w:p>
            <w:pPr>
              <w:pStyle w:val="Compact"/>
              <w:jc w:val="left"/>
            </w:pPr>
            <w:r>
              <w:t xml:space="preserve">Emergency liquidity and credit facility arrangement facilitated by the Banker through partner institutions in France Paris</w:t>
            </w:r>
          </w:p>
        </w:tc>
        <w:tc>
          <w:tcPr/>
          <w:p>
            <w:pPr>
              <w:pStyle w:val="Compact"/>
              <w:jc w:val="left"/>
            </w:pPr>
            <w:r>
              <w:t xml:space="preserve">On demand</w:t>
            </w:r>
          </w:p>
        </w:tc>
        <w:tc>
          <w:tcPr/>
          <w:p>
            <w:pPr>
              <w:pStyle w:val="Compact"/>
              <w:jc w:val="left"/>
            </w:pPr>
            <w:r>
              <w:t xml:space="preserve">Per activation</w:t>
            </w:r>
          </w:p>
        </w:tc>
        <w:tc>
          <w:tcPr/>
          <w:p>
            <w:pPr>
              <w:pStyle w:val="Compact"/>
              <w:jc w:val="left"/>
            </w:pPr>
            <w:r>
              <w:t xml:space="preserve">€2,500.00</w:t>
            </w:r>
          </w:p>
        </w:tc>
      </w:tr>
      <w:tr>
        <w:tc>
          <w:tcPr/>
          <w:p>
            <w:pPr>
              <w:pStyle w:val="Compact"/>
              <w:jc w:val="left"/>
            </w:pPr>
            <w:r>
              <w:t xml:space="preserve">07</w:t>
            </w:r>
          </w:p>
        </w:tc>
        <w:tc>
          <w:tcPr/>
          <w:p>
            <w:pPr>
              <w:pStyle w:val="Compact"/>
              <w:jc w:val="left"/>
            </w:pPr>
            <w:r>
              <w:t xml:space="preserve">Annual estate planning and succession advisory session with the Banker, tailored to French civil law (Code civil) requirements</w:t>
            </w:r>
          </w:p>
        </w:tc>
        <w:tc>
          <w:tcPr/>
          <w:p>
            <w:pPr>
              <w:pStyle w:val="Compact"/>
              <w:jc w:val="left"/>
            </w:pPr>
            <w:r>
              <w:t xml:space="preserve">12 months</w:t>
            </w:r>
          </w:p>
        </w:tc>
        <w:tc>
          <w:tcPr/>
          <w:p>
            <w:pPr>
              <w:pStyle w:val="Compact"/>
              <w:jc w:val="left"/>
            </w:pPr>
            <w:r>
              <w:t xml:space="preserve">Per session (3 hrs)</w:t>
            </w:r>
          </w:p>
        </w:tc>
        <w:tc>
          <w:tcPr/>
          <w:p>
            <w:pPr>
              <w:pStyle w:val="Compact"/>
              <w:jc w:val="left"/>
            </w:pPr>
            <w:r>
              <w:t xml:space="preserve">€1,600.00</w:t>
            </w:r>
          </w:p>
        </w:tc>
      </w:tr>
      <w:tr>
        <w:tc>
          <w:tcPr/>
          <w:p>
            <w:pPr>
              <w:pStyle w:val="Compact"/>
              <w:jc w:val="left"/>
            </w:pPr>
            <w:r>
              <w:t xml:space="preserve">08</w:t>
            </w:r>
          </w:p>
        </w:tc>
        <w:tc>
          <w:tcPr/>
          <w:p>
            <w:pPr>
              <w:pStyle w:val="Compact"/>
              <w:jc w:val="left"/>
            </w:pPr>
            <w:r>
              <w:t xml:space="preserve">Dedicated telephone and secure digital communication channel with the assigned Banker (available 08:00–19:00 CET, Monday to Friday)</w:t>
            </w:r>
          </w:p>
        </w:tc>
        <w:tc>
          <w:tcPr/>
          <w:p>
            <w:pPr>
              <w:pStyle w:val="Compact"/>
              <w:jc w:val="left"/>
            </w:pPr>
            <w:r>
              <w:t xml:space="preserve">12 months</w:t>
            </w:r>
          </w:p>
        </w:tc>
        <w:tc>
          <w:tcPr/>
          <w:p>
            <w:pPr>
              <w:pStyle w:val="Compact"/>
              <w:jc w:val="left"/>
            </w:pPr>
            <w:r>
              <w:t xml:space="preserve">Per annum</w:t>
            </w:r>
          </w:p>
        </w:tc>
        <w:tc>
          <w:tcPr/>
          <w:p>
            <w:pPr>
              <w:pStyle w:val="Compact"/>
              <w:jc w:val="left"/>
            </w:pPr>
            <w:r>
              <w:t xml:space="preserve">€2,400.00</w:t>
            </w:r>
          </w:p>
        </w:tc>
      </w:tr>
    </w:tbl>
    <w:bookmarkEnd w:id="22"/>
    <w:bookmarkStart w:id="23" w:name="X6a28d3c56c7b0e25cc7c87e57dc4fa81d9a3f2b"/>
    <w:p>
      <w:pPr>
        <w:pStyle w:val="Heading2"/>
      </w:pPr>
      <w:r>
        <w:t xml:space="preserve">3. Financial Summary of This Quotation Estimate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Amount (EUR)</w:t>
            </w:r>
          </w:p>
        </w:tc>
      </w:tr>
      <w:tr>
        <w:tc>
          <w:tcPr/>
          <w:p>
            <w:pPr>
              <w:pStyle w:val="Compact"/>
              <w:jc w:val="left"/>
            </w:pPr>
            <w:r>
              <w:t xml:space="preserve">Subtotal — One-time Banker services (Ref. 01, 04)</w:t>
            </w:r>
          </w:p>
        </w:tc>
        <w:tc>
          <w:tcPr/>
          <w:p>
            <w:pPr>
              <w:pStyle w:val="Compact"/>
              <w:jc w:val="left"/>
            </w:pPr>
            <w:r>
              <w:t xml:space="preserve">€5,050.00</w:t>
            </w:r>
          </w:p>
        </w:tc>
      </w:tr>
      <w:tr>
        <w:tc>
          <w:tcPr/>
          <w:p>
            <w:pPr>
              <w:pStyle w:val="Compact"/>
              <w:jc w:val="left"/>
            </w:pPr>
            <w:r>
              <w:t xml:space="preserve">Subtotal — Recurring monthly Banker services (Ref. 02, 05, 08)</w:t>
            </w:r>
          </w:p>
        </w:tc>
        <w:tc>
          <w:tcPr/>
          <w:p>
            <w:pPr>
              <w:pStyle w:val="Compact"/>
              <w:jc w:val="left"/>
            </w:pPr>
            <w:r>
              <w:t xml:space="preserve">€24,120.00 / year</w:t>
            </w:r>
          </w:p>
        </w:tc>
      </w:tr>
      <w:tr>
        <w:tc>
          <w:tcPr/>
          <w:p>
            <w:pPr>
              <w:pStyle w:val="Compact"/>
              <w:jc w:val="left"/>
            </w:pPr>
            <w:r>
              <w:t xml:space="preserve">Subtotal — Annual Banker services (Ref. 03, 07)</w:t>
            </w:r>
          </w:p>
        </w:tc>
        <w:tc>
          <w:tcPr/>
          <w:p>
            <w:pPr>
              <w:pStyle w:val="Compact"/>
              <w:jc w:val="left"/>
            </w:pPr>
            <w:r>
              <w:t xml:space="preserve">€14,000.00 / year</w:t>
            </w:r>
          </w:p>
        </w:tc>
      </w:tr>
      <w:tr>
        <w:tc>
          <w:tcPr/>
          <w:p>
            <w:pPr>
              <w:pStyle w:val="Compact"/>
              <w:jc w:val="left"/>
            </w:pPr>
            <w:r>
              <w:t xml:space="preserve">Contingent Banker service — Emergency liquidity (Ref. 06)</w:t>
            </w:r>
          </w:p>
        </w:tc>
        <w:tc>
          <w:tcPr/>
          <w:p>
            <w:pPr>
              <w:pStyle w:val="Compact"/>
              <w:jc w:val="left"/>
            </w:pPr>
            <w:r>
              <w:t xml:space="preserve">€2,500.00 (per activation, max 2/year)</w:t>
            </w:r>
          </w:p>
        </w:tc>
      </w:tr>
      <w:tr>
        <w:tc>
          <w:tcPr/>
          <w:p>
            <w:pPr>
              <w:pStyle w:val="Compact"/>
              <w:jc w:val="left"/>
            </w:pPr>
            <w:r>
              <w:t xml:space="preserve">Estimated Total Annual Cost (excluding contingent services)</w:t>
            </w:r>
          </w:p>
        </w:tc>
        <w:tc>
          <w:tcPr/>
          <w:p>
            <w:pPr>
              <w:pStyle w:val="Compact"/>
              <w:jc w:val="left"/>
            </w:pPr>
            <w:r>
              <w:t xml:space="preserve">€43,170.00</w:t>
            </w:r>
          </w:p>
        </w:tc>
      </w:tr>
      <w:tr>
        <w:tc>
          <w:tcPr/>
          <w:p>
            <w:pPr>
              <w:pStyle w:val="Compact"/>
              <w:jc w:val="left"/>
            </w:pPr>
            <w:r>
              <w:t xml:space="preserve">Estimated Total Annual Cost (including 2 contingent activations)</w:t>
            </w:r>
          </w:p>
        </w:tc>
        <w:tc>
          <w:tcPr/>
          <w:p>
            <w:pPr>
              <w:pStyle w:val="Compact"/>
              <w:jc w:val="left"/>
            </w:pPr>
            <w:r>
              <w:t xml:space="preserve">€48,170.00</w:t>
            </w:r>
          </w:p>
        </w:tc>
      </w:tr>
    </w:tbl>
    <w:p>
      <w:pPr>
        <w:pStyle w:val="BodyText"/>
      </w:pPr>
      <w:r>
        <w:t xml:space="preserve">* All amounts are stated in Euros (EUR) and are exclusive of French Value Added Tax (TVA) at the applicable rate of 20%, which will be added to the final invoice. The total including TVA for the base annual package is</w:t>
      </w:r>
      <w:r>
        <w:t xml:space="preserve"> </w:t>
      </w:r>
      <w:r>
        <w:rPr>
          <w:bCs/>
          <w:b/>
        </w:rPr>
        <w:t xml:space="preserve">€51,804.00</w:t>
      </w:r>
      <w:r>
        <w:t xml:space="preserve">.</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Banker</w:t>
      </w:r>
      <w:r>
        <w:t xml:space="preserve"> </w:t>
      </w:r>
      <w:r>
        <w:t xml:space="preserve">service rates quoted herein may be subject to revision in line with prevailing market conditions in</w:t>
      </w:r>
      <w:r>
        <w:t xml:space="preserve"> </w:t>
      </w:r>
      <w:r>
        <w:t xml:space="preserve">France Paris</w:t>
      </w:r>
      <w:r>
        <w:t xml:space="preserve">.</w:t>
      </w:r>
    </w:p>
    <w:p>
      <w:pPr>
        <w:numPr>
          <w:ilvl w:val="0"/>
          <w:numId w:val="1001"/>
        </w:numPr>
        <w:pStyle w:val="Compact"/>
      </w:pPr>
      <w:r>
        <w:t xml:space="preserve">The</w:t>
      </w:r>
      <w:r>
        <w:t xml:space="preserve"> </w:t>
      </w:r>
      <w:r>
        <w:t xml:space="preserve">Banker</w:t>
      </w:r>
      <w:r>
        <w:t xml:space="preserve"> </w:t>
      </w:r>
      <w:r>
        <w:t xml:space="preserve">services described in this document are subject to a minimum engagement period of twelve (12) months. Early termination may incur a penalty equivalent to 15% of the remaining contractual value.</w:t>
      </w:r>
    </w:p>
    <w:p>
      <w:pPr>
        <w:numPr>
          <w:ilvl w:val="0"/>
          <w:numId w:val="1001"/>
        </w:numPr>
        <w:pStyle w:val="Compact"/>
      </w:pPr>
      <w:r>
        <w:t xml:space="preserve">All</w:t>
      </w:r>
      <w:r>
        <w:t xml:space="preserve"> </w:t>
      </w:r>
      <w:r>
        <w:t xml:space="preserve">Banker</w:t>
      </w:r>
      <w:r>
        <w:t xml:space="preserve"> </w:t>
      </w:r>
      <w:r>
        <w:t xml:space="preserve">consultations and on-site meetings within the Paris intra-muros area (75001–75020) are included at no additional travel cost. Services rendered outside the</w:t>
      </w:r>
      <w:r>
        <w:t xml:space="preserve"> </w:t>
      </w:r>
      <w:r>
        <w:t xml:space="preserve">France Paris</w:t>
      </w:r>
      <w:r>
        <w:t xml:space="preserve"> </w:t>
      </w:r>
      <w:r>
        <w:t xml:space="preserve">metropolitan area will be subject to a supplementary travel surcharge of €1.20 per kilometre.</w:t>
      </w:r>
    </w:p>
    <w:p>
      <w:pPr>
        <w:numPr>
          <w:ilvl w:val="0"/>
          <w:numId w:val="1001"/>
        </w:numPr>
        <w:pStyle w:val="Compact"/>
      </w:pPr>
      <w:r>
        <w:t xml:space="preserve">Payment terms: 50% of the annual fee is due upon execution of the service agreement; the remaining 50% is payable in two equal quarterly instalments. One-time</w:t>
      </w:r>
      <w:r>
        <w:t xml:space="preserve"> </w:t>
      </w:r>
      <w:r>
        <w:t xml:space="preserve">Banker</w:t>
      </w:r>
      <w:r>
        <w:t xml:space="preserve"> </w:t>
      </w:r>
      <w:r>
        <w:t xml:space="preserve">service fees are invoiced within five (5) business days of service delivery.</w:t>
      </w:r>
    </w:p>
    <w:p>
      <w:pPr>
        <w:numPr>
          <w:ilvl w:val="0"/>
          <w:numId w:val="1001"/>
        </w:numPr>
        <w:pStyle w:val="Compact"/>
      </w:pPr>
      <w:r>
        <w:t xml:space="preserve">The</w:t>
      </w:r>
      <w:r>
        <w:t xml:space="preserve"> </w:t>
      </w:r>
      <w:r>
        <w:t xml:space="preserve">Banker</w:t>
      </w:r>
      <w:r>
        <w:t xml:space="preserve"> </w:t>
      </w:r>
      <w:r>
        <w:t xml:space="preserve">engaged under this</w:t>
      </w:r>
      <w:r>
        <w:t xml:space="preserve"> </w:t>
      </w:r>
      <w:r>
        <w:t xml:space="preserve">Quotation Estimate</w:t>
      </w:r>
      <w:r>
        <w:t xml:space="preserve"> </w:t>
      </w:r>
      <w:r>
        <w:t xml:space="preserve">shall maintain professional indemnity insurance of no less than €2,000,000 per claim, as required by French banking regulations applicable in</w:t>
      </w:r>
      <w:r>
        <w:t xml:space="preserve"> </w:t>
      </w:r>
      <w:r>
        <w:t xml:space="preserve">France Paris</w:t>
      </w:r>
      <w:r>
        <w:t xml:space="preserve">.</w:t>
      </w:r>
    </w:p>
    <w:p>
      <w:pPr>
        <w:numPr>
          <w:ilvl w:val="0"/>
          <w:numId w:val="1001"/>
        </w:numPr>
        <w:pStyle w:val="Compact"/>
      </w:pPr>
      <w:r>
        <w:t xml:space="preserve">Confidentiality: All financial data, portfolio information, and personal details shared during the course of the</w:t>
      </w:r>
      <w:r>
        <w:t xml:space="preserve"> </w:t>
      </w:r>
      <w:r>
        <w:t xml:space="preserve">Banker</w:t>
      </w:r>
      <w:r>
        <w:t xml:space="preserve"> </w:t>
      </w:r>
      <w:r>
        <w:t xml:space="preserve">engagement shall be treated in strict confidence in accordance with the French Data Protection Act (Loi Informatique et Libertés) and the EU General Data Protection Regulation (GDPR).</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incorporating all terms herein, shall be executed by both parties prior to the commencement of any</w:t>
      </w:r>
      <w:r>
        <w:t xml:space="preserve"> </w:t>
      </w:r>
      <w:r>
        <w:t xml:space="preserve">Banker</w:t>
      </w:r>
      <w:r>
        <w:t xml:space="preserve"> </w:t>
      </w:r>
      <w:r>
        <w:t xml:space="preserve">services in</w:t>
      </w:r>
      <w:r>
        <w:t xml:space="preserve"> </w:t>
      </w:r>
      <w:r>
        <w:t xml:space="preserve">France Paris</w:t>
      </w:r>
      <w:r>
        <w:t xml:space="preserve">.</w:t>
      </w:r>
    </w:p>
    <w:p>
      <w:pPr>
        <w:numPr>
          <w:ilvl w:val="0"/>
          <w:numId w:val="1001"/>
        </w:numPr>
        <w:pStyle w:val="Compact"/>
      </w:pPr>
      <w:r>
        <w:t xml:space="preserve">Any disputes arising from the interpretation or execution of this</w:t>
      </w:r>
      <w:r>
        <w:t xml:space="preserve"> </w:t>
      </w:r>
      <w:r>
        <w:t xml:space="preserve">Quotation Estimate</w:t>
      </w:r>
      <w:r>
        <w:t xml:space="preserve"> </w:t>
      </w:r>
      <w:r>
        <w:t xml:space="preserve">shall be resolved by the competent commercial courts of</w:t>
      </w:r>
      <w:r>
        <w:t xml:space="preserve"> </w:t>
      </w:r>
      <w:r>
        <w:t xml:space="preserve">France Paris</w:t>
      </w:r>
      <w:r>
        <w:t xml:space="preserve"> </w:t>
      </w:r>
      <w:r>
        <w:t xml:space="preserve">(Tribunal de Commerce de Paris).</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authorises the engagement of the designated</w:t>
      </w:r>
      <w:r>
        <w:t xml:space="preserve"> </w:t>
      </w:r>
      <w:r>
        <w:t xml:space="preserve">Banker</w:t>
      </w:r>
      <w:r>
        <w:t xml:space="preserve"> </w:t>
      </w:r>
      <w:r>
        <w:t xml:space="preserve">for the services described herein, to be delivered in</w:t>
      </w:r>
      <w:r>
        <w:t xml:space="preserve"> </w:t>
      </w:r>
      <w:r>
        <w:t xml:space="preserve">France Paris</w:t>
      </w:r>
      <w:r>
        <w:t xml:space="preserve"> </w:t>
      </w:r>
      <w:r>
        <w:t xml:space="preserve">under the terms and conditions set forth in this document.</w:t>
      </w:r>
    </w:p>
    <w:p>
      <w:pPr>
        <w:pStyle w:val="BodyText"/>
      </w:pPr>
      <w:r>
        <w:rPr>
          <w:bCs/>
          <w:b/>
        </w:rPr>
        <w:t xml:space="preserve">For the Service Provider</w:t>
      </w:r>
    </w:p>
    <w:p>
      <w:pPr>
        <w:pStyle w:val="BodyText"/>
      </w:pPr>
      <w:r>
        <w:t xml:space="preserve">M. Laurent Dubois</w:t>
      </w:r>
      <w:r>
        <w:br/>
      </w:r>
      <w:r>
        <w:t xml:space="preserve">Senior Banker Consultant</w:t>
      </w:r>
      <w:r>
        <w:br/>
      </w:r>
      <w:r>
        <w:t xml:space="preserve">12 Rue de la Bourse, 75002 France Paris</w:t>
      </w:r>
    </w:p>
    <w:p>
      <w:pPr>
        <w:pStyle w:val="BodyText"/>
      </w:pPr>
      <w:r>
        <w:t xml:space="preserve">Signature &amp; Date</w:t>
      </w:r>
    </w:p>
    <w:p>
      <w:pPr>
        <w:pStyle w:val="BodyText"/>
      </w:pPr>
      <w:r>
        <w:rPr>
          <w:bCs/>
          <w:b/>
        </w:rPr>
        <w:t xml:space="preserve">For the Client</w:t>
      </w:r>
    </w:p>
    <w:p>
      <w:pPr>
        <w:pStyle w:val="BodyText"/>
      </w:pPr>
      <w:r>
        <w:t xml:space="preserve">Madame Sophie Renard</w:t>
      </w:r>
      <w:r>
        <w:br/>
      </w:r>
      <w:r>
        <w:t xml:space="preserve">45 Avenue des Champs-Élysées</w:t>
      </w:r>
      <w:r>
        <w:br/>
      </w:r>
      <w:r>
        <w:t xml:space="preserve">75008 France Paris</w:t>
      </w:r>
    </w:p>
    <w:p>
      <w:pPr>
        <w:pStyle w:val="BodyText"/>
      </w:pPr>
      <w:r>
        <w:t xml:space="preserve">Signature &amp; Date</w:t>
      </w:r>
    </w:p>
    <w:p>
      <w:pPr>
        <w:pStyle w:val="BodyText"/>
      </w:pPr>
      <w:r>
        <w:t xml:space="preserve">This Quotation Estimate document was prepared and issued in France Paris. © 2025 Banque Privée Parisienne SARL — SIRET: 847 291 035 00021 — RCS Paris.</w:t>
      </w:r>
      <w:r>
        <w:br/>
      </w:r>
      <w:r>
        <w:t xml:space="preserve">All Banker services are regulated under the French banking code. This Quotation Estimate is for the exclusive use of the named client and may not be reproduced or distributed without written consent.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France Paris</dc:title>
  <dc:creator/>
  <dc:language>en</dc:language>
  <cp:keywords/>
  <dcterms:created xsi:type="dcterms:W3CDTF">2026-10-10T11:30:48Z</dcterms:created>
  <dcterms:modified xsi:type="dcterms:W3CDTF">2026-10-10T11:30:48Z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