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Berlin,</w:t>
      </w:r>
      <w:r>
        <w:t xml:space="preserve"> </w:t>
      </w:r>
      <w:r>
        <w:t xml:space="preserve">Germany</w:t>
      </w:r>
    </w:p>
    <w:bookmarkStart w:id="20" w:name="quotation-estimate"/>
    <w:p>
      <w:pPr>
        <w:pStyle w:val="Heading1"/>
      </w:pPr>
      <w:r>
        <w:t xml:space="preserve">Quotation Estimate</w:t>
      </w:r>
    </w:p>
    <w:p>
      <w:pPr>
        <w:pStyle w:val="FirstParagraph"/>
      </w:pPr>
      <w:r>
        <w:t xml:space="preserve">Professional Banker Services — Berlin, Germany</w:t>
      </w:r>
    </w:p>
    <w:p>
      <w:pPr>
        <w:pStyle w:val="BodyText"/>
      </w:pPr>
      <w:r>
        <w:t xml:space="preserve">Issued by: Deutsche Finanzdienst GmbH — Unter den Linden 85, 10117 Berlin, Germany</w:t>
      </w:r>
    </w:p>
    <w:bookmarkEnd w:id="20"/>
    <w:p>
      <w:pPr>
        <w:pStyle w:val="BodyText"/>
      </w:pPr>
      <w:r>
        <w:t xml:space="preserve">Quotation Estimate No. QTE-2025-BER-0472</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Date of Issue</w:t>
            </w:r>
          </w:p>
        </w:tc>
        <w:tc>
          <w:tcPr/>
          <w:p>
            <w:pPr>
              <w:pStyle w:val="Compact"/>
              <w:jc w:val="left"/>
            </w:pPr>
            <w:r>
              <w:t xml:space="preserve">14 June 2025</w:t>
            </w:r>
          </w:p>
        </w:tc>
        <w:tc>
          <w:tcPr/>
          <w:p>
            <w:pPr>
              <w:pStyle w:val="Compact"/>
              <w:jc w:val="left"/>
            </w:pPr>
            <w:r>
              <w:t xml:space="preserve">Validity Period</w:t>
            </w:r>
          </w:p>
        </w:tc>
        <w:tc>
          <w:tcPr/>
          <w:p>
            <w:pPr>
              <w:pStyle w:val="Compact"/>
              <w:jc w:val="left"/>
            </w:pPr>
            <w:r>
              <w:t xml:space="preserve">30 days (until 14 July 2025)</w:t>
            </w:r>
          </w:p>
        </w:tc>
      </w:tr>
      <w:tr>
        <w:tc>
          <w:tcPr/>
          <w:p>
            <w:pPr>
              <w:pStyle w:val="Compact"/>
              <w:jc w:val="left"/>
            </w:pPr>
            <w:r>
              <w:t xml:space="preserve">Prepared For</w:t>
            </w:r>
          </w:p>
        </w:tc>
        <w:tc>
          <w:tcPr/>
          <w:p>
            <w:pPr>
              <w:pStyle w:val="Compact"/>
              <w:jc w:val="left"/>
            </w:pPr>
            <w:r>
              <w:t xml:space="preserve">Meridian Corporate Holdings AG, Friedrichstraße 120, 10117 Berlin, Germany</w:t>
            </w:r>
          </w:p>
        </w:tc>
        <w:tc>
          <w:tcPr/>
          <w:p>
            <w:pPr>
              <w:pStyle w:val="Compact"/>
              <w:jc w:val="left"/>
            </w:pPr>
            <w:r>
              <w:t xml:space="preserve">Contact Person</w:t>
            </w:r>
          </w:p>
        </w:tc>
        <w:tc>
          <w:tcPr/>
          <w:p>
            <w:pPr>
              <w:pStyle w:val="Compact"/>
              <w:jc w:val="left"/>
            </w:pPr>
            <w:r>
              <w:t xml:space="preserve">Dr. Katharina Vogel, CFO</w:t>
            </w:r>
          </w:p>
        </w:tc>
      </w:tr>
      <w:tr>
        <w:tc>
          <w:tcPr/>
          <w:p>
            <w:pPr>
              <w:pStyle w:val="Compact"/>
              <w:jc w:val="left"/>
            </w:pPr>
            <w:r>
              <w:t xml:space="preserve">Service Location</w:t>
            </w:r>
          </w:p>
        </w:tc>
        <w:tc>
          <w:tcPr/>
          <w:p>
            <w:pPr>
              <w:pStyle w:val="Compact"/>
              <w:jc w:val="left"/>
            </w:pPr>
            <w:r>
              <w:t xml:space="preserve">Berlin, Germany (Primary Office: Mitte District)</w:t>
            </w:r>
          </w:p>
        </w:tc>
        <w:tc>
          <w:tcPr/>
          <w:p>
            <w:pPr>
              <w:pStyle w:val="Compact"/>
              <w:jc w:val="left"/>
            </w:pPr>
            <w:r>
              <w:t xml:space="preserve">Currency</w:t>
            </w:r>
          </w:p>
        </w:tc>
        <w:tc>
          <w:tcPr/>
          <w:p>
            <w:pPr>
              <w:pStyle w:val="Compact"/>
              <w:jc w:val="left"/>
            </w:pPr>
            <w:r>
              <w:t xml:space="preserve">Euro (EUR)</w:t>
            </w:r>
          </w:p>
        </w:tc>
      </w:tr>
      <w:tr>
        <w:tc>
          <w:tcPr/>
          <w:p>
            <w:pPr>
              <w:pStyle w:val="Compact"/>
              <w:jc w:val="left"/>
            </w:pPr>
            <w:r>
              <w:t xml:space="preserve">Prepared By</w:t>
            </w:r>
          </w:p>
        </w:tc>
        <w:tc>
          <w:tcPr/>
          <w:p>
            <w:pPr>
              <w:pStyle w:val="Compact"/>
              <w:jc w:val="left"/>
            </w:pPr>
            <w:r>
              <w:t xml:space="preserve">Stefan Brandt, Senior Account Manager</w:t>
            </w:r>
          </w:p>
        </w:tc>
        <w:tc>
          <w:tcPr/>
          <w:p>
            <w:pPr>
              <w:pStyle w:val="Compact"/>
              <w:jc w:val="left"/>
            </w:pPr>
            <w:r>
              <w:t xml:space="preserve">Reference</w:t>
            </w:r>
          </w:p>
        </w:tc>
        <w:tc>
          <w:tcPr/>
          <w:p>
            <w:pPr>
              <w:pStyle w:val="Compact"/>
              <w:jc w:val="left"/>
            </w:pPr>
            <w:r>
              <w:t xml:space="preserve">Client File #MC-2025-0091</w:t>
            </w:r>
          </w:p>
        </w:tc>
      </w:tr>
    </w:tbl>
    <w:bookmarkStart w:id="21" w:name="purpose-of-this-quotation-estimate"/>
    <w:p>
      <w:pPr>
        <w:pStyle w:val="Heading2"/>
      </w:pPr>
      <w:r>
        <w:t xml:space="preserve">1. Purpose of This Quotation Estimate</w:t>
      </w:r>
    </w:p>
    <w:p>
      <w:pPr>
        <w:pStyle w:val="FirstParagraph"/>
      </w:pPr>
      <w:r>
        <w:t xml:space="preserve">This Quotation Estimate is issued by Deutsche Finanzdienst GmbH to Meridian Corporate Holdings AG for the provision of dedicated professional Banker services in Berlin, Germany. The scope of this engagement covers the assignment of a senior Banker to support the client's corporate treasury operations, credit management, and strategic financial advisory functions within the Berlin metropolitan area. This document outlines all applicable fees, service deliverables, and contractual terms governing the engagement.</w:t>
      </w:r>
    </w:p>
    <w:bookmarkEnd w:id="21"/>
    <w:bookmarkStart w:id="22" w:name="scope-of-banker-services"/>
    <w:p>
      <w:pPr>
        <w:pStyle w:val="Heading2"/>
      </w:pPr>
      <w:r>
        <w:t xml:space="preserve">2. Scope of Banker Services</w:t>
      </w:r>
    </w:p>
    <w:p>
      <w:pPr>
        <w:pStyle w:val="FirstParagraph"/>
      </w:pPr>
      <w:r>
        <w:t xml:space="preserve">The assigned Banker will operate out of the client's premises in Berlin, Germany, and will be responsible for the following core functions:</w:t>
      </w:r>
    </w:p>
    <w:p>
      <w:pPr>
        <w:numPr>
          <w:ilvl w:val="0"/>
          <w:numId w:val="1001"/>
        </w:numPr>
        <w:pStyle w:val="Compact"/>
      </w:pPr>
      <w:r>
        <w:t xml:space="preserve">Corporate treasury management and cash-flow optimisation for the client's Berlin operations.</w:t>
      </w:r>
    </w:p>
    <w:p>
      <w:pPr>
        <w:numPr>
          <w:ilvl w:val="0"/>
          <w:numId w:val="1001"/>
        </w:numPr>
        <w:pStyle w:val="Compact"/>
      </w:pPr>
      <w:r>
        <w:t xml:space="preserve">Relationship management with local and international banking institutions operating in Germany.</w:t>
      </w:r>
    </w:p>
    <w:p>
      <w:pPr>
        <w:numPr>
          <w:ilvl w:val="0"/>
          <w:numId w:val="1001"/>
        </w:numPr>
        <w:pStyle w:val="Compact"/>
      </w:pPr>
      <w:r>
        <w:t xml:space="preserve">Preparation and execution of credit facilities, syndicated loans, and working-capital instruments.</w:t>
      </w:r>
    </w:p>
    <w:p>
      <w:pPr>
        <w:numPr>
          <w:ilvl w:val="0"/>
          <w:numId w:val="1001"/>
        </w:numPr>
        <w:pStyle w:val="Compact"/>
      </w:pPr>
      <w:r>
        <w:t xml:space="preserve">Regulatory compliance oversight in accordance with BaFin (Bundesanstalt für Finanzdienstleistungsaufsicht) guidelines applicable in Germany.</w:t>
      </w:r>
    </w:p>
    <w:p>
      <w:pPr>
        <w:numPr>
          <w:ilvl w:val="0"/>
          <w:numId w:val="1001"/>
        </w:numPr>
        <w:pStyle w:val="Compact"/>
      </w:pPr>
      <w:r>
        <w:t xml:space="preserve">Monthly financial reporting and quarterly strategic reviews presented to the client's executive board in Berlin.</w:t>
      </w:r>
    </w:p>
    <w:p>
      <w:pPr>
        <w:numPr>
          <w:ilvl w:val="0"/>
          <w:numId w:val="1001"/>
        </w:numPr>
        <w:pStyle w:val="Compact"/>
      </w:pPr>
      <w:r>
        <w:t xml:space="preserve">Advisory support on foreign-exchange hedging strategies relevant to the client's cross-border operations within the European Union.</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Banker Service</w:t>
            </w:r>
          </w:p>
        </w:tc>
        <w:tc>
          <w:tcPr/>
          <w:p>
            <w:pPr>
              <w:pStyle w:val="Compact"/>
              <w:jc w:val="left"/>
            </w:pPr>
            <w:r>
              <w:t xml:space="preserve">Duration</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Senior Banker — Monthly Professional Fee (full-time, 40 hrs/week, Berlin office)</w:t>
            </w:r>
          </w:p>
        </w:tc>
        <w:tc>
          <w:tcPr/>
          <w:p>
            <w:pPr>
              <w:pStyle w:val="Compact"/>
              <w:jc w:val="left"/>
            </w:pPr>
            <w:r>
              <w:t xml:space="preserve">12 months</w:t>
            </w:r>
          </w:p>
        </w:tc>
        <w:tc>
          <w:tcPr/>
          <w:p>
            <w:pPr>
              <w:pStyle w:val="Compact"/>
              <w:jc w:val="left"/>
            </w:pPr>
            <w:r>
              <w:t xml:space="preserve">186,000.00</w:t>
            </w:r>
          </w:p>
        </w:tc>
      </w:tr>
      <w:tr>
        <w:tc>
          <w:tcPr/>
          <w:p>
            <w:pPr>
              <w:pStyle w:val="Compact"/>
              <w:jc w:val="left"/>
            </w:pPr>
            <w:r>
              <w:t xml:space="preserve">02</w:t>
            </w:r>
          </w:p>
        </w:tc>
        <w:tc>
          <w:tcPr/>
          <w:p>
            <w:pPr>
              <w:pStyle w:val="Compact"/>
              <w:jc w:val="left"/>
            </w:pPr>
            <w:r>
              <w:t xml:space="preserve">Onboarding &amp; Transition Period (first 30 days, includes system integration and knowledge transfer)</w:t>
            </w:r>
          </w:p>
        </w:tc>
        <w:tc>
          <w:tcPr/>
          <w:p>
            <w:pPr>
              <w:pStyle w:val="Compact"/>
              <w:jc w:val="left"/>
            </w:pPr>
            <w:r>
              <w:t xml:space="preserve">1 month</w:t>
            </w:r>
          </w:p>
        </w:tc>
        <w:tc>
          <w:tcPr/>
          <w:p>
            <w:pPr>
              <w:pStyle w:val="Compact"/>
              <w:jc w:val="left"/>
            </w:pPr>
            <w:r>
              <w:t xml:space="preserve">12,500.00</w:t>
            </w:r>
          </w:p>
        </w:tc>
      </w:tr>
      <w:tr>
        <w:tc>
          <w:tcPr/>
          <w:p>
            <w:pPr>
              <w:pStyle w:val="Compact"/>
              <w:jc w:val="left"/>
            </w:pPr>
            <w:r>
              <w:t xml:space="preserve">03</w:t>
            </w:r>
          </w:p>
        </w:tc>
        <w:tc>
          <w:tcPr/>
          <w:p>
            <w:pPr>
              <w:pStyle w:val="Compact"/>
              <w:jc w:val="left"/>
            </w:pPr>
            <w:r>
              <w:t xml:space="preserve">Regulatory Compliance Audit — BaFin alignment review for Berlin operations</w:t>
            </w:r>
          </w:p>
        </w:tc>
        <w:tc>
          <w:tcPr/>
          <w:p>
            <w:pPr>
              <w:pStyle w:val="Compact"/>
              <w:jc w:val="left"/>
            </w:pPr>
            <w:r>
              <w:t xml:space="preserve">One-time</w:t>
            </w:r>
          </w:p>
        </w:tc>
        <w:tc>
          <w:tcPr/>
          <w:p>
            <w:pPr>
              <w:pStyle w:val="Compact"/>
              <w:jc w:val="left"/>
            </w:pPr>
            <w:r>
              <w:t xml:space="preserve">8,200.00</w:t>
            </w:r>
          </w:p>
        </w:tc>
      </w:tr>
      <w:tr>
        <w:tc>
          <w:tcPr/>
          <w:p>
            <w:pPr>
              <w:pStyle w:val="Compact"/>
              <w:jc w:val="left"/>
            </w:pPr>
            <w:r>
              <w:t xml:space="preserve">04</w:t>
            </w:r>
          </w:p>
        </w:tc>
        <w:tc>
          <w:tcPr/>
          <w:p>
            <w:pPr>
              <w:pStyle w:val="Compact"/>
              <w:jc w:val="left"/>
            </w:pPr>
            <w:r>
              <w:t xml:space="preserve">Quarterly Strategic Financial Advisory Sessions (4 sessions per year, in-person in Berlin)</w:t>
            </w:r>
          </w:p>
        </w:tc>
        <w:tc>
          <w:tcPr/>
          <w:p>
            <w:pPr>
              <w:pStyle w:val="Compact"/>
              <w:jc w:val="left"/>
            </w:pPr>
            <w:r>
              <w:t xml:space="preserve">12 months</w:t>
            </w:r>
          </w:p>
        </w:tc>
        <w:tc>
          <w:tcPr/>
          <w:p>
            <w:pPr>
              <w:pStyle w:val="Compact"/>
              <w:jc w:val="left"/>
            </w:pPr>
            <w:r>
              <w:t xml:space="preserve">16,000.00</w:t>
            </w:r>
          </w:p>
        </w:tc>
      </w:tr>
      <w:tr>
        <w:tc>
          <w:tcPr/>
          <w:p>
            <w:pPr>
              <w:pStyle w:val="Compact"/>
              <w:jc w:val="left"/>
            </w:pPr>
            <w:r>
              <w:t xml:space="preserve">05</w:t>
            </w:r>
          </w:p>
        </w:tc>
        <w:tc>
          <w:tcPr/>
          <w:p>
            <w:pPr>
              <w:pStyle w:val="Compact"/>
              <w:jc w:val="left"/>
            </w:pPr>
            <w:r>
              <w:t xml:space="preserve">Foreign-Exchange Hedging Strategy Development &amp; Implementation</w:t>
            </w:r>
          </w:p>
        </w:tc>
        <w:tc>
          <w:tcPr/>
          <w:p>
            <w:pPr>
              <w:pStyle w:val="Compact"/>
              <w:jc w:val="left"/>
            </w:pPr>
            <w:r>
              <w:t xml:space="preserve">One-time</w:t>
            </w:r>
          </w:p>
        </w:tc>
        <w:tc>
          <w:tcPr/>
          <w:p>
            <w:pPr>
              <w:pStyle w:val="Compact"/>
              <w:jc w:val="left"/>
            </w:pPr>
            <w:r>
              <w:t xml:space="preserve">9,800.00</w:t>
            </w:r>
          </w:p>
        </w:tc>
      </w:tr>
      <w:tr>
        <w:tc>
          <w:tcPr/>
          <w:p>
            <w:pPr>
              <w:pStyle w:val="Compact"/>
              <w:jc w:val="left"/>
            </w:pPr>
            <w:r>
              <w:t xml:space="preserve">06</w:t>
            </w:r>
          </w:p>
        </w:tc>
        <w:tc>
          <w:tcPr/>
          <w:p>
            <w:pPr>
              <w:pStyle w:val="Compact"/>
              <w:jc w:val="left"/>
            </w:pPr>
            <w:r>
              <w:t xml:space="preserve">Annual Credit Facility Restructuring &amp; Bank Relationship Review</w:t>
            </w:r>
          </w:p>
        </w:tc>
        <w:tc>
          <w:tcPr/>
          <w:p>
            <w:pPr>
              <w:pStyle w:val="Compact"/>
              <w:jc w:val="left"/>
            </w:pPr>
            <w:r>
              <w:t xml:space="preserve">One-time</w:t>
            </w:r>
          </w:p>
        </w:tc>
        <w:tc>
          <w:tcPr/>
          <w:p>
            <w:pPr>
              <w:pStyle w:val="Compact"/>
              <w:jc w:val="left"/>
            </w:pPr>
            <w:r>
              <w:t xml:space="preserve">14,500.00</w:t>
            </w:r>
          </w:p>
        </w:tc>
      </w:tr>
      <w:tr>
        <w:tc>
          <w:tcPr/>
          <w:p>
            <w:pPr>
              <w:pStyle w:val="Compact"/>
              <w:jc w:val="left"/>
            </w:pPr>
            <w:r>
              <w:t xml:space="preserve">07</w:t>
            </w:r>
          </w:p>
        </w:tc>
        <w:tc>
          <w:tcPr/>
          <w:p>
            <w:pPr>
              <w:pStyle w:val="Compact"/>
              <w:jc w:val="left"/>
            </w:pPr>
            <w:r>
              <w:t xml:space="preserve">Travel &amp; Local Transportation Allowance within Berlin, Germany (monthly)</w:t>
            </w:r>
          </w:p>
        </w:tc>
        <w:tc>
          <w:tcPr/>
          <w:p>
            <w:pPr>
              <w:pStyle w:val="Compact"/>
              <w:jc w:val="left"/>
            </w:pPr>
            <w:r>
              <w:t xml:space="preserve">12 months</w:t>
            </w:r>
          </w:p>
        </w:tc>
        <w:tc>
          <w:tcPr/>
          <w:p>
            <w:pPr>
              <w:pStyle w:val="Compact"/>
              <w:jc w:val="left"/>
            </w:pPr>
            <w:r>
              <w:t xml:space="preserve">4,800.00</w:t>
            </w:r>
          </w:p>
        </w:tc>
      </w:tr>
      <w:tr>
        <w:tc>
          <w:tcPr/>
          <w:p>
            <w:pPr>
              <w:pStyle w:val="Compact"/>
              <w:jc w:val="left"/>
            </w:pPr>
            <w:r>
              <w:t xml:space="preserve">08</w:t>
            </w:r>
          </w:p>
        </w:tc>
        <w:tc>
          <w:tcPr/>
          <w:p>
            <w:pPr>
              <w:pStyle w:val="Compact"/>
              <w:jc w:val="left"/>
            </w:pPr>
            <w:r>
              <w:t xml:space="preserve">Technology &amp; Software Licensing (treasury management platform, compliance tools)</w:t>
            </w:r>
          </w:p>
        </w:tc>
        <w:tc>
          <w:tcPr/>
          <w:p>
            <w:pPr>
              <w:pStyle w:val="Compact"/>
              <w:jc w:val="left"/>
            </w:pPr>
            <w:r>
              <w:t xml:space="preserve">12 months</w:t>
            </w:r>
          </w:p>
        </w:tc>
        <w:tc>
          <w:tcPr/>
          <w:p>
            <w:pPr>
              <w:pStyle w:val="Compact"/>
              <w:jc w:val="left"/>
            </w:pPr>
            <w:r>
              <w:t xml:space="preserve">7,200.00</w:t>
            </w:r>
          </w:p>
        </w:tc>
      </w:tr>
      <w:tr>
        <w:tc>
          <w:tcPr>
            <w:gridSpan w:val="3"/>
          </w:tcPr>
          <w:p>
            <w:pPr>
              <w:pStyle w:val="Compact"/>
              <w:jc w:val="left"/>
            </w:pPr>
            <w:r>
              <w:t xml:space="preserve">Subtotal (excl. VAT)</w:t>
            </w:r>
          </w:p>
        </w:tc>
        <w:tc>
          <w:tcPr/>
          <w:p>
            <w:pPr>
              <w:pStyle w:val="Compact"/>
              <w:jc w:val="left"/>
            </w:pPr>
            <w:r>
              <w:t xml:space="preserve">259,000.00</w:t>
            </w:r>
          </w:p>
        </w:tc>
      </w:tr>
      <w:tr>
        <w:tc>
          <w:tcPr>
            <w:gridSpan w:val="3"/>
          </w:tcPr>
          <w:p>
            <w:pPr>
              <w:pStyle w:val="Compact"/>
              <w:jc w:val="left"/>
            </w:pPr>
            <w:r>
              <w:t xml:space="preserve">VAT (19% — German Standard Rate)</w:t>
            </w:r>
          </w:p>
        </w:tc>
        <w:tc>
          <w:tcPr/>
          <w:p>
            <w:pPr>
              <w:pStyle w:val="Compact"/>
              <w:jc w:val="left"/>
            </w:pPr>
            <w:r>
              <w:t xml:space="preserve">49,210.00</w:t>
            </w:r>
          </w:p>
        </w:tc>
      </w:tr>
      <w:tr>
        <w:tc>
          <w:tcPr>
            <w:gridSpan w:val="3"/>
          </w:tcPr>
          <w:p>
            <w:pPr>
              <w:pStyle w:val="Compact"/>
              <w:jc w:val="left"/>
            </w:pPr>
            <w:r>
              <w:t xml:space="preserve">Total Quotation Estimate (incl. VAT)</w:t>
            </w:r>
          </w:p>
        </w:tc>
        <w:tc>
          <w:tcPr/>
          <w:p>
            <w:pPr>
              <w:pStyle w:val="Compact"/>
              <w:jc w:val="left"/>
            </w:pPr>
            <w:r>
              <w:t xml:space="preserve">308,210.00</w:t>
            </w:r>
          </w:p>
        </w:tc>
      </w:tr>
    </w:tbl>
    <w:bookmarkEnd w:id="23"/>
    <w:bookmarkStart w:id="24" w:name="payment-terms"/>
    <w:p>
      <w:pPr>
        <w:pStyle w:val="Heading2"/>
      </w:pPr>
      <w:r>
        <w:t xml:space="preserve">4. Payment Terms</w:t>
      </w:r>
    </w:p>
    <w:p>
      <w:pPr>
        <w:pStyle w:val="FirstParagraph"/>
      </w:pPr>
      <w:r>
        <w:t xml:space="preserve">All invoices arising from this Quotation Estimate shall be payable within 30 calendar days of the invoice date via SEPA bank transfer to the account of Deutsche Finanzdienst GmbH, IBAN: DE89 3704 0044 0532 0130 00, BIC: COBADEFFXXX, Berlin, Germany. Late payments shall incur interest at the statutory rate of 8 percentage points above the European Central Bank base rate, in accordance with Section 288 of the German Civil Code (BGB).</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 Quotation Estimate is valid for a period of thirty (30) calendar days from the date of issue. Beyond this period, all fees and terms are subject to revision without prior notice.</w:t>
      </w:r>
    </w:p>
    <w:p>
      <w:pPr>
        <w:pStyle w:val="BodyText"/>
      </w:pPr>
      <w:r>
        <w:rPr>
          <w:bCs/>
          <w:b/>
        </w:rPr>
        <w:t xml:space="preserve">5.2</w:t>
      </w:r>
      <w:r>
        <w:t xml:space="preserve"> </w:t>
      </w:r>
      <w:r>
        <w:t xml:space="preserve">The Banker assigned under this engagement shall be a qualified professional holding a valid banking licence recognised by BaFin in Germany. The Banker shall comply with all applicable German financial regulations, including the Kreditwesengesetz (KWG) and the Geldwäschegesetz (GwG).</w:t>
      </w:r>
    </w:p>
    <w:p>
      <w:pPr>
        <w:pStyle w:val="BodyText"/>
      </w:pPr>
      <w:r>
        <w:rPr>
          <w:bCs/>
          <w:b/>
        </w:rPr>
        <w:t xml:space="preserve">5.3</w:t>
      </w:r>
      <w:r>
        <w:t xml:space="preserve"> </w:t>
      </w:r>
      <w:r>
        <w:t xml:space="preserve">All services shall be performed at the client's designated office in Berlin, Germany, unless otherwise agreed in writing. Any travel outside the Berlin metropolitan area shall be billed at an additional rate of EUR 85.00 per hour.</w:t>
      </w:r>
    </w:p>
    <w:p>
      <w:pPr>
        <w:pStyle w:val="BodyText"/>
      </w:pPr>
      <w:r>
        <w:rPr>
          <w:bCs/>
          <w:b/>
        </w:rPr>
        <w:t xml:space="preserve">5.4</w:t>
      </w:r>
      <w:r>
        <w:t xml:space="preserve"> </w:t>
      </w:r>
      <w:r>
        <w:t xml:space="preserve">The client grants Deutsche Finanzdienst GmbH a limited licence to use the client's name and logo in professional references, subject to prior written approval.</w:t>
      </w:r>
    </w:p>
    <w:p>
      <w:pPr>
        <w:pStyle w:val="BodyText"/>
      </w:pPr>
      <w:r>
        <w:rPr>
          <w:bCs/>
          <w:b/>
        </w:rPr>
        <w:t xml:space="preserve">5.5</w:t>
      </w:r>
      <w:r>
        <w:t xml:space="preserve"> </w:t>
      </w:r>
      <w:r>
        <w:t xml:space="preserve">This engagement is governed by the laws of the Federal Republic of Germany. Any disputes arising from this Quotation Estimate shall be subject to the exclusive jurisdiction of the competent courts in Berlin, Germany.</w:t>
      </w:r>
    </w:p>
    <w:p>
      <w:pPr>
        <w:pStyle w:val="BodyText"/>
      </w:pPr>
      <w:r>
        <w:rPr>
          <w:bCs/>
          <w:b/>
        </w:rPr>
        <w:t xml:space="preserve">5.6</w:t>
      </w:r>
      <w:r>
        <w:t xml:space="preserve"> </w:t>
      </w:r>
      <w:r>
        <w:t xml:space="preserve">Neither party shall be liable for damages resulting from force majeure events, including but not limited to natural disasters, government-imposed restrictions, or systemic financial market disruptions affecting operations in Berlin, Germany.</w:t>
      </w:r>
    </w:p>
    <w:p>
      <w:pPr>
        <w:pStyle w:val="BodyText"/>
      </w:pPr>
      <w:r>
        <w:rPr>
          <w:bCs/>
          <w:b/>
        </w:rPr>
        <w:t xml:space="preserve">Note:</w:t>
      </w:r>
      <w:r>
        <w:t xml:space="preserve"> </w:t>
      </w:r>
      <w:r>
        <w:t xml:space="preserve">This Quotation Estimate does not constitute a binding contract until countersigned by both parties. All figures are exclusive of any additional services not explicitly listed herein. The Banker's performance is subject to a 90-day probationary period during which either party may terminate the engagement with 14 days' written notice.</w:t>
      </w:r>
    </w:p>
    <w:bookmarkEnd w:id="25"/>
    <w:bookmarkStart w:id="26" w:name="acceptance-and-authorisation"/>
    <w:p>
      <w:pPr>
        <w:pStyle w:val="Heading2"/>
      </w:pPr>
      <w:r>
        <w:t xml:space="preserve">6. Acceptance and Authorisation</w:t>
      </w:r>
    </w:p>
    <w:p>
      <w:pPr>
        <w:pStyle w:val="FirstParagraph"/>
      </w:pPr>
      <w:r>
        <w:t xml:space="preserve">By signing below, both parties acknowledge that they have read, understood, and agree to all terms set forth in this Quotation Estimate for Banker services in Berlin, Germany.</w:t>
      </w:r>
    </w:p>
    <w:p>
      <w:pPr>
        <w:pStyle w:val="BodyText"/>
      </w:pPr>
      <w:r>
        <w:rPr>
          <w:bCs/>
          <w:b/>
        </w:rPr>
        <w:t xml:space="preserve">For Deutsche Finanzdienst GmbH</w:t>
      </w:r>
      <w:r>
        <w:br/>
      </w:r>
      <w:r>
        <w:t xml:space="preserve">Name: Stefan Brandt</w:t>
      </w:r>
      <w:r>
        <w:br/>
      </w:r>
      <w:r>
        <w:t xml:space="preserve">Title: Senior Account Manager</w:t>
      </w:r>
      <w:r>
        <w:br/>
      </w:r>
      <w:r>
        <w:t xml:space="preserve">Date: ______________________</w:t>
      </w:r>
      <w:r>
        <w:br/>
      </w:r>
      <w:r>
        <w:t xml:space="preserve">Signature: ______________________</w:t>
      </w:r>
    </w:p>
    <w:p>
      <w:pPr>
        <w:pStyle w:val="BodyText"/>
      </w:pPr>
      <w:r>
        <w:rPr>
          <w:bCs/>
          <w:b/>
        </w:rPr>
        <w:t xml:space="preserve">For Meridian Corporate Holdings AG</w:t>
      </w:r>
      <w:r>
        <w:br/>
      </w:r>
      <w:r>
        <w:t xml:space="preserve">Name: Dr. Katharina Vogel</w:t>
      </w:r>
      <w:r>
        <w:br/>
      </w:r>
      <w:r>
        <w:t xml:space="preserve">Title: Chief Financial Officer</w:t>
      </w:r>
      <w:r>
        <w:br/>
      </w:r>
      <w:r>
        <w:t xml:space="preserve">Date: ______________________</w:t>
      </w:r>
      <w:r>
        <w:br/>
      </w:r>
      <w:r>
        <w:t xml:space="preserve">Signature: ______________________</w:t>
      </w:r>
    </w:p>
    <w:p>
      <w:pPr>
        <w:pStyle w:val="BodyText"/>
      </w:pPr>
      <w:r>
        <w:t xml:space="preserve">Quotation Estimate No. QTE-2025-BER-0472 — Banker Services — Berlin, Germany</w:t>
      </w:r>
    </w:p>
    <w:p>
      <w:pPr>
        <w:pStyle w:val="BodyText"/>
      </w:pPr>
      <w:r>
        <w:t xml:space="preserve">Deutsche Finanzdienst GmbH — Unter den Linden 85, 10117 Berlin, Germany — HRB 123456 B, Amtsgericht Charlottenburg</w:t>
      </w:r>
    </w:p>
    <w:p>
      <w:pPr>
        <w:pStyle w:val="BodyText"/>
      </w:pPr>
      <w:r>
        <w:t xml:space="preserve">This document is confidential and intended solely for the named recipient. Unauthorised reproduction or distribution is prohibited under German copyright law (Urheberrechtsgesetz).</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Banker Services - Berlin, Germany</dc:title>
  <dc:creator/>
  <dc:language>en</dc:language>
  <cp:keywords/>
  <dcterms:created xsi:type="dcterms:W3CDTF">2026-10-10T06:10:49Z</dcterms:created>
  <dcterms:modified xsi:type="dcterms:W3CDTF">2026-10-10T06:10:49Z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