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–</w:t>
      </w:r>
      <w:r>
        <w:t xml:space="preserve"> </w:t>
      </w:r>
      <w:r>
        <w:t xml:space="preserve">Banker</w:t>
      </w:r>
      <w:r>
        <w:t xml:space="preserve"> </w:t>
      </w:r>
      <w:r>
        <w:t xml:space="preserve">Services</w:t>
      </w:r>
      <w:r>
        <w:t xml:space="preserve"> </w:t>
      </w:r>
      <w:r>
        <w:t xml:space="preserve">–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20" w:name="frankfurt-financial-advisory-group-gmbh"/>
    <w:p>
      <w:pPr>
        <w:pStyle w:val="Heading1"/>
      </w:pPr>
      <w:r>
        <w:t xml:space="preserve">Frankfurt Financial Advisory Group GmbH</w:t>
      </w:r>
    </w:p>
    <w:p>
      <w:pPr>
        <w:pStyle w:val="FirstParagraph"/>
      </w:pPr>
      <w:r>
        <w:t xml:space="preserve">Banker &amp; Corporate Finance Services</w:t>
      </w:r>
    </w:p>
    <w:p>
      <w:pPr>
        <w:pStyle w:val="BodyText"/>
      </w:pPr>
      <w:r>
        <w:t xml:space="preserve">Neue Mainzer Straße 12, 60311 Frankfurt am Main, Germany</w:t>
      </w:r>
    </w:p>
    <w:p>
      <w:pPr>
        <w:pStyle w:val="BodyText"/>
      </w:pPr>
      <w:r>
        <w:t xml:space="preserve">Tel: +49 69 1234 5678  |  Email: quotations@ffag-frankfurt.de</w:t>
      </w:r>
    </w:p>
    <w:p>
      <w:pPr>
        <w:pStyle w:val="BodyText"/>
      </w:pPr>
      <w:r>
        <w:t xml:space="preserve">USt-IdNr.: DE 312 456 789  |  HRB 123456, Amtsgericht Frankfurt am Main</w:t>
      </w:r>
    </w:p>
    <w:bookmarkEnd w:id="20"/>
    <w:p>
      <w:pPr>
        <w:pStyle w:val="BodyText"/>
      </w:pPr>
      <w:r>
        <w:t xml:space="preserve">Quotation Estimate</w:t>
      </w:r>
    </w:p>
    <w:p>
      <w:pPr>
        <w:pStyle w:val="BodyText"/>
      </w:pPr>
      <w:r>
        <w:t xml:space="preserve">Professional Banker Services &amp; Financial Advisory – Germany Frankfurt</w:t>
      </w:r>
    </w:p>
    <w:bookmarkStart w:id="21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QTE-2025-FRA-00847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14 July 2025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Dr. Heinrich Vogel, Senior Banker</w:t>
      </w:r>
    </w:p>
    <w:p>
      <w:pPr>
        <w:pStyle w:val="BodyText"/>
      </w:pPr>
      <w:r>
        <w:rPr>
          <w:bCs/>
          <w:b/>
        </w:rPr>
        <w:t xml:space="preserve">Location of Service:</w:t>
      </w:r>
      <w:r>
        <w:t xml:space="preserve"> </w:t>
      </w:r>
      <w:r>
        <w:t xml:space="preserve">Frankfurt am Main, Germany</w:t>
      </w:r>
    </w:p>
    <w:bookmarkEnd w:id="21"/>
    <w:bookmarkStart w:id="22" w:name="client-information"/>
    <w:p>
      <w:pPr>
        <w:pStyle w:val="Heading3"/>
      </w:pPr>
      <w:r>
        <w:t xml:space="preserve">Client Information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[Client Company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[Street, Postal Code, City, Germany]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[Name &amp; Title]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[client@email.de]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[Internal Ref. No.]</w:t>
      </w:r>
    </w:p>
    <w:bookmarkEnd w:id="22"/>
    <w:p>
      <w:pPr>
        <w:pStyle w:val="BodyText"/>
      </w:pPr>
      <w:r>
        <w:t xml:space="preserve">Dear Valued Client,</w:t>
      </w:r>
    </w:p>
    <w:p>
      <w:pPr>
        <w:pStyle w:val="BodyText"/>
      </w:pPr>
      <w:r>
        <w:t xml:space="preserve">Thank you for your inquiry regarding professional</w:t>
      </w:r>
      <w:r>
        <w:t xml:space="preserve"> </w:t>
      </w:r>
      <w:r>
        <w:t xml:space="preserve">Banker</w:t>
      </w:r>
      <w:r>
        <w:t xml:space="preserve"> </w:t>
      </w:r>
      <w:r>
        <w:t xml:space="preserve">services and comprehensive financial advisory solutions.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carefully prepared by our team of experienced bankers at Frankfurt Financial Advisory Group GmbH, headquartered in the heart of</w:t>
      </w:r>
      <w:r>
        <w:t xml:space="preserve"> </w:t>
      </w:r>
      <w:r>
        <w:t xml:space="preserve">Germany Frankfurt</w:t>
      </w:r>
      <w:r>
        <w:t xml:space="preserve"> </w:t>
      </w:r>
      <w:r>
        <w:t xml:space="preserve">– the undisputed financial capital of the European continent. As a leading</w:t>
      </w:r>
      <w:r>
        <w:t xml:space="preserve"> </w:t>
      </w:r>
      <w:r>
        <w:t xml:space="preserve">Banker</w:t>
      </w:r>
      <w:r>
        <w:t xml:space="preserve"> </w:t>
      </w:r>
      <w:r>
        <w:t xml:space="preserve">firm operating in</w:t>
      </w:r>
      <w:r>
        <w:t xml:space="preserve"> </w:t>
      </w:r>
      <w:r>
        <w:t xml:space="preserve">Germany Frankfurt</w:t>
      </w:r>
      <w:r>
        <w:t xml:space="preserve">, we are committed to delivering tailored financial solutions that meet the exacting standards of the German and European banking sector.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outlines the full scope of</w:t>
      </w:r>
      <w:r>
        <w:t xml:space="preserve"> </w:t>
      </w:r>
      <w:r>
        <w:t xml:space="preserve">Banker</w:t>
      </w:r>
      <w:r>
        <w:t xml:space="preserve"> </w:t>
      </w:r>
      <w:r>
        <w:t xml:space="preserve">services we propose to deliver to your organisation, along with a detailed itemisation of all associated costs. All figures presented herein are based on current market conditions in</w:t>
      </w:r>
      <w:r>
        <w:t xml:space="preserve"> </w:t>
      </w:r>
      <w:r>
        <w:t xml:space="preserve">Germany Frankfurt</w:t>
      </w:r>
      <w:r>
        <w:t xml:space="preserve"> </w:t>
      </w:r>
      <w:r>
        <w:t xml:space="preserve">and reflect the professional expertise of our senior</w:t>
      </w:r>
      <w:r>
        <w:t xml:space="preserve"> </w:t>
      </w:r>
      <w:r>
        <w:t xml:space="preserve">Banker</w:t>
      </w:r>
      <w:r>
        <w:t xml:space="preserve"> </w:t>
      </w:r>
      <w:r>
        <w:t xml:space="preserve">team. Please review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in its entirety before proceeding to a formal engagement agreement.</w:t>
      </w:r>
    </w:p>
    <w:p>
      <w:pPr>
        <w:pStyle w:val="BodyText"/>
      </w:pPr>
      <w:r>
        <w:t xml:space="preserve">Scope of Banker Services – Germany Frankfurt</w:t>
      </w:r>
    </w:p>
    <w:p>
      <w:pPr>
        <w:pStyle w:val="BodyText"/>
      </w:pPr>
      <w:r>
        <w:t xml:space="preserve">As your dedicated</w:t>
      </w:r>
      <w:r>
        <w:t xml:space="preserve"> </w:t>
      </w:r>
      <w:r>
        <w:t xml:space="preserve">Banker</w:t>
      </w:r>
      <w:r>
        <w:t xml:space="preserve"> </w:t>
      </w:r>
      <w:r>
        <w:t xml:space="preserve">partner in</w:t>
      </w:r>
      <w:r>
        <w:t xml:space="preserve"> </w:t>
      </w:r>
      <w:r>
        <w:t xml:space="preserve">Germany Frankfurt</w:t>
      </w:r>
      <w:r>
        <w:t xml:space="preserve">, we propose the following comprehensive suite of services. Each service is delivered by a qualified</w:t>
      </w:r>
      <w:r>
        <w:t xml:space="preserve"> </w:t>
      </w:r>
      <w:r>
        <w:t xml:space="preserve">Banker</w:t>
      </w:r>
      <w:r>
        <w:t xml:space="preserve"> </w:t>
      </w:r>
      <w:r>
        <w:t xml:space="preserve">or team of bankers with extensive experience in the German regulatory environment, the European Central Bank framework, and the broader financial markets of</w:t>
      </w:r>
      <w:r>
        <w:t xml:space="preserve"> </w:t>
      </w:r>
      <w:r>
        <w:t xml:space="preserve">Germany Frankfurt</w:t>
      </w:r>
      <w:r>
        <w:t xml:space="preserve">:</w:t>
      </w:r>
    </w:p>
    <w:tbl>
      <w:tblPr>
        <w:tblStyle w:val="Table"/>
        <w:tblW w:type="auto" w:w="0"/>
        <w:tblLook w:firstRow="1" w:lastRow="1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Deliverable / Output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Estimated Cost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Corporate Banking Advisory</w:t>
            </w:r>
            <w:r>
              <w:t xml:space="preserve"> </w:t>
            </w:r>
            <w:r>
              <w:t xml:space="preserve">– Full-spectrum</w:t>
            </w:r>
            <w:r>
              <w:t xml:space="preserve"> </w:t>
            </w:r>
            <w:r>
              <w:t xml:space="preserve">Banker</w:t>
            </w:r>
            <w:r>
              <w:t xml:space="preserve"> </w:t>
            </w:r>
            <w:r>
              <w:t xml:space="preserve">consultation on corporate treasury management, liquidity planning, and working capital optimisation within the</w:t>
            </w:r>
            <w:r>
              <w:t xml:space="preserve"> </w:t>
            </w:r>
            <w:r>
              <w:t xml:space="preserve">Germany Frankfurt</w:t>
            </w:r>
            <w:r>
              <w:t xml:space="preserve"> </w:t>
            </w:r>
            <w:r>
              <w:t xml:space="preserve">financial ecosystem.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advisory report; quarterly review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 (renewable)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€ 48,500.00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Loan &amp; Credit Structuring</w:t>
            </w:r>
            <w:r>
              <w:t xml:space="preserve"> </w:t>
            </w:r>
            <w:r>
              <w:t xml:space="preserve">– Our senior</w:t>
            </w:r>
            <w:r>
              <w:t xml:space="preserve"> </w:t>
            </w:r>
            <w:r>
              <w:t xml:space="preserve">Banker</w:t>
            </w:r>
            <w:r>
              <w:t xml:space="preserve"> </w:t>
            </w:r>
            <w:r>
              <w:t xml:space="preserve">team designs and negotiates optimal credit facilities, syndicated loans, and revolving credit lines with partner banks in</w:t>
            </w:r>
            <w:r>
              <w:t xml:space="preserve"> </w:t>
            </w:r>
            <w:r>
              <w:t xml:space="preserve">Germany Frankfurt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Structured credit proposal; negotiation support; closing documentation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3–6 months per facility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€ 32,000.00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&amp; Reporting</w:t>
            </w:r>
            <w:r>
              <w:t xml:space="preserve"> </w:t>
            </w:r>
            <w:r>
              <w:t xml:space="preserve">– Ongoing</w:t>
            </w:r>
            <w:r>
              <w:t xml:space="preserve"> </w:t>
            </w:r>
            <w:r>
              <w:t xml:space="preserve">Banker</w:t>
            </w:r>
            <w:r>
              <w:t xml:space="preserve"> </w:t>
            </w:r>
            <w:r>
              <w:t xml:space="preserve">oversight to ensure full compliance with BaFin regulations, EU MiFID II directives, and German Banking Act (KWG) requirements applicable in</w:t>
            </w:r>
            <w:r>
              <w:t xml:space="preserve"> </w:t>
            </w:r>
            <w:r>
              <w:t xml:space="preserve">Germany Frankfurt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compliance reports; annual audit preparation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 (renewable)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€ 27,800.00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Foreign Exchange &amp; Hedging Strategy</w:t>
            </w:r>
            <w:r>
              <w:t xml:space="preserve"> </w:t>
            </w:r>
            <w:r>
              <w:t xml:space="preserve">– A dedicated</w:t>
            </w:r>
            <w:r>
              <w:t xml:space="preserve"> </w:t>
            </w:r>
            <w:r>
              <w:t xml:space="preserve">Banker</w:t>
            </w:r>
            <w:r>
              <w:t xml:space="preserve"> </w:t>
            </w:r>
            <w:r>
              <w:t xml:space="preserve">in</w:t>
            </w:r>
            <w:r>
              <w:t xml:space="preserve"> </w:t>
            </w:r>
            <w:r>
              <w:t xml:space="preserve">Germany Frankfurt</w:t>
            </w:r>
            <w:r>
              <w:t xml:space="preserve"> </w:t>
            </w:r>
            <w:r>
              <w:t xml:space="preserve">develops and executes FX hedging programmes, interest rate swaps, and derivative strategies to mitigate currency and rate risk.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hedging strategy document; execution reports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 (renewable)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€ 21,400.00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M&amp;A Financial Due Diligence</w:t>
            </w:r>
            <w:r>
              <w:t xml:space="preserve"> </w:t>
            </w:r>
            <w:r>
              <w:t xml:space="preserve">– Our</w:t>
            </w:r>
            <w:r>
              <w:t xml:space="preserve"> </w:t>
            </w:r>
            <w:r>
              <w:t xml:space="preserve">Banker</w:t>
            </w:r>
            <w:r>
              <w:t xml:space="preserve"> </w:t>
            </w:r>
            <w:r>
              <w:t xml:space="preserve">specialists conduct thorough financial due diligence for mergers, acquisitions, and joint ventures involving entities registered in or operating from</w:t>
            </w:r>
            <w:r>
              <w:t xml:space="preserve"> </w:t>
            </w:r>
            <w:r>
              <w:t xml:space="preserve">Germany Frankfurt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Detailed due diligence report; valuation memorandum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4–8 weeks per transaction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€ 55,000.00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Investment Banking &amp; Capital Raising</w:t>
            </w:r>
            <w:r>
              <w:t xml:space="preserve"> </w:t>
            </w:r>
            <w:r>
              <w:t xml:space="preserve">– Advisory by a senior</w:t>
            </w:r>
            <w:r>
              <w:t xml:space="preserve"> </w:t>
            </w:r>
            <w:r>
              <w:t xml:space="preserve">Banker</w:t>
            </w:r>
            <w:r>
              <w:t xml:space="preserve"> </w:t>
            </w:r>
            <w:r>
              <w:t xml:space="preserve">on equity and debt capital raising, IPO preparation, and access to the Frankfurt Stock Exchange (Deutsche Börse) and European capital markets.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Prospectus support; investor presentations; roadshow coordination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6–12 months per mandate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€ 74,000.00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Banker Representation</w:t>
            </w:r>
            <w:r>
              <w:t xml:space="preserve"> </w:t>
            </w:r>
            <w:r>
              <w:t xml:space="preserve">– A designated</w:t>
            </w:r>
            <w:r>
              <w:t xml:space="preserve"> </w:t>
            </w:r>
            <w:r>
              <w:t xml:space="preserve">Banker</w:t>
            </w:r>
            <w:r>
              <w:t xml:space="preserve"> </w:t>
            </w:r>
            <w:r>
              <w:t xml:space="preserve">from our</w:t>
            </w:r>
            <w:r>
              <w:t xml:space="preserve"> </w:t>
            </w:r>
            <w:r>
              <w:t xml:space="preserve">Germany Frankfurt</w:t>
            </w:r>
            <w:r>
              <w:t xml:space="preserve"> </w:t>
            </w:r>
            <w:r>
              <w:t xml:space="preserve">office is available for on-site meetings, board presentations, and direct liaison with your internal finance team.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Minimum 2 days per month on-site; unlimited remote access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 (renewable)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€ 18,600.00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Contingency &amp; Crisis Banking</w:t>
            </w:r>
            <w:r>
              <w:t xml:space="preserve"> </w:t>
            </w:r>
            <w:r>
              <w:t xml:space="preserve">– 24/7 emergency</w:t>
            </w:r>
            <w:r>
              <w:t xml:space="preserve"> </w:t>
            </w:r>
            <w:r>
              <w:t xml:space="preserve">Banker</w:t>
            </w:r>
            <w:r>
              <w:t xml:space="preserve"> </w:t>
            </w:r>
            <w:r>
              <w:t xml:space="preserve">support for liquidity crises, credit events, or regulatory interventions, leveraging our deep network across</w:t>
            </w:r>
            <w:r>
              <w:t xml:space="preserve"> </w:t>
            </w:r>
            <w:r>
              <w:t xml:space="preserve">Germany Frankfurt</w:t>
            </w:r>
            <w:r>
              <w:t xml:space="preserve"> </w:t>
            </w:r>
            <w:r>
              <w:t xml:space="preserve">and the broader Eurozone.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Immediate response protocol; crisis management plan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 (renewable)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€ 12,200.00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(all Banker services)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€ 289,500.00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(19% – Germany)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€ 55,005.00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Quotation Estimate (incl.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€ 344,505.00</w:t>
            </w:r>
          </w:p>
        </w:tc>
      </w:tr>
    </w:tbl>
    <w:p>
      <w:pPr>
        <w:pStyle w:val="BodyText"/>
      </w:pPr>
      <w:r>
        <w:t xml:space="preserve">Terms &amp; Conditions of This Quotation Estimate</w:t>
      </w:r>
    </w:p>
    <w:p>
      <w:pPr>
        <w:pStyle w:val="BodyText"/>
      </w:pPr>
      <w:r>
        <w:rPr>
          <w:bCs/>
          <w:b/>
        </w:rPr>
        <w:t xml:space="preserve">1. Validity: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the expiry date, all rates and service terms are subject to revision by our</w:t>
      </w:r>
      <w:r>
        <w:t xml:space="preserve"> </w:t>
      </w:r>
      <w:r>
        <w:t xml:space="preserve">Banker</w:t>
      </w:r>
      <w:r>
        <w:t xml:space="preserve"> </w:t>
      </w:r>
      <w:r>
        <w:t xml:space="preserve">team in</w:t>
      </w:r>
      <w:r>
        <w:t xml:space="preserve"> </w:t>
      </w:r>
      <w:r>
        <w:t xml:space="preserve">Germany Frankfurt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2. Payment Terms:</w:t>
      </w:r>
      <w:r>
        <w:t xml:space="preserve"> </w:t>
      </w:r>
      <w:r>
        <w:t xml:space="preserve">Invoices arising from this</w:t>
      </w:r>
    </w:p>
    <w:p>
      <w:pPr>
        <w:pStyle w:val="BodyText"/>
      </w:pPr>
      <w:r>
        <w:t xml:space="preserve">Quotation Estimate are payable within thirty (30) days of the invoice date. Payment shall be made via SEPA bank transfer to our account at a licensed bank in</w:t>
      </w:r>
      <w:r>
        <w:t xml:space="preserve"> </w:t>
      </w:r>
      <w:r>
        <w:t xml:space="preserve">Germany Frankfurt</w:t>
      </w:r>
      <w:r>
        <w:t xml:space="preserve">. A late payment interest of 8% above the ECB base rate applies in accordance with German commercial law (HGB § 288).</w:t>
      </w:r>
    </w:p>
    <w:p>
      <w:pPr>
        <w:pStyle w:val="BodyText"/>
      </w:pPr>
      <w:r>
        <w:rPr>
          <w:bCs/>
          <w:b/>
        </w:rPr>
        <w:t xml:space="preserve">3. Scope &amp; Changes:</w:t>
      </w:r>
      <w:r>
        <w:t xml:space="preserve"> </w:t>
      </w:r>
      <w:r>
        <w:t xml:space="preserve">The services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limited to those explicitly listed above. Any additional</w:t>
      </w:r>
      <w:r>
        <w:t xml:space="preserve"> </w:t>
      </w:r>
      <w:r>
        <w:t xml:space="preserve">Banker</w:t>
      </w:r>
      <w:r>
        <w:t xml:space="preserve"> </w:t>
      </w:r>
      <w:r>
        <w:t xml:space="preserve">services, scope extensions, or changes in the regulatory landscape of</w:t>
      </w:r>
      <w:r>
        <w:t xml:space="preserve"> </w:t>
      </w:r>
      <w:r>
        <w:t xml:space="preserve">Germany Frankfurt</w:t>
      </w:r>
      <w:r>
        <w:t xml:space="preserve"> </w:t>
      </w:r>
      <w:r>
        <w:t xml:space="preserve">will be subject to a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mutual written agreement.</w:t>
      </w:r>
    </w:p>
    <w:p>
      <w:pPr>
        <w:pStyle w:val="BodyText"/>
      </w:pPr>
      <w:r>
        <w:rPr>
          <w:bCs/>
          <w:b/>
        </w:rPr>
        <w:t xml:space="preserve">4. Confidentiality:</w:t>
      </w:r>
      <w:r>
        <w:t xml:space="preserve"> </w:t>
      </w:r>
      <w:r>
        <w:t xml:space="preserve">All information exchanged in connection with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the subsequent engagement shall be treated as strictly confidential by both parties, in compliance with German data protection law (BDSG) and the EU General Data Protection Regulation (GDPR).</w:t>
      </w:r>
    </w:p>
    <w:p>
      <w:pPr>
        <w:pStyle w:val="BodyText"/>
      </w:pPr>
      <w:r>
        <w:rPr>
          <w:bCs/>
          <w:b/>
        </w:rPr>
        <w:t xml:space="preserve">5. Liability &amp; Insurance:</w:t>
      </w:r>
      <w:r>
        <w:t xml:space="preserve"> </w:t>
      </w:r>
      <w:r>
        <w:t xml:space="preserve">Our</w:t>
      </w:r>
      <w:r>
        <w:t xml:space="preserve"> </w:t>
      </w:r>
      <w:r>
        <w:t xml:space="preserve">Banker</w:t>
      </w:r>
      <w:r>
        <w:t xml:space="preserve"> </w:t>
      </w:r>
      <w:r>
        <w:t xml:space="preserve">services are provided with the utmost professional diligence. Professional indemnity insurance is maintained in the amount of € 5,000,000 per claim. Liability is limited to the total fees paid under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6. Governing Law &amp; Jurisdiction: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any resulting contract shall be governed by the laws of the Federal Republic of Germany. Exclusive jurisdiction for any disputes shall lie with the competent courts in</w:t>
      </w:r>
      <w:r>
        <w:t xml:space="preserve"> </w:t>
      </w:r>
      <w:r>
        <w:t xml:space="preserve">Germany Frankfurt</w:t>
      </w:r>
      <w:r>
        <w:t xml:space="preserve"> </w:t>
      </w:r>
      <w:r>
        <w:t xml:space="preserve">(Frankfurt am Main).</w:t>
      </w:r>
    </w:p>
    <w:p>
      <w:pPr>
        <w:pStyle w:val="BodyText"/>
      </w:pPr>
      <w:r>
        <w:rPr>
          <w:bCs/>
          <w:b/>
        </w:rPr>
        <w:t xml:space="preserve">7. Cancellation:</w:t>
      </w:r>
      <w:r>
        <w:t xml:space="preserve"> </w:t>
      </w:r>
      <w:r>
        <w:t xml:space="preserve">Either party may terminate the engagement with a written notice of sixty (60) days. Fees for services already rendered up to the effective date of termination remain payable in full.</w:t>
      </w:r>
    </w:p>
    <w:p>
      <w:pPr>
        <w:pStyle w:val="BodyText"/>
      </w:pPr>
      <w:r>
        <w:t xml:space="preserve">Acceptance of Quotation Estimate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scope of</w:t>
      </w:r>
      <w:r>
        <w:t xml:space="preserve"> </w:t>
      </w:r>
      <w:r>
        <w:t xml:space="preserve">Banker</w:t>
      </w:r>
      <w:r>
        <w:t xml:space="preserve"> </w:t>
      </w:r>
      <w:r>
        <w:t xml:space="preserve">services, the estimated costs, and the terms and conditions set forth herein for the provision of services in</w:t>
      </w:r>
      <w:r>
        <w:t xml:space="preserve"> </w:t>
      </w:r>
      <w:r>
        <w:t xml:space="preserve">Germany Frankfurt</w:t>
      </w:r>
      <w:r>
        <w:t xml:space="preserve">.</w:t>
      </w:r>
    </w:p>
    <w:p>
      <w:pPr>
        <w:pStyle w:val="BodyText"/>
      </w:pPr>
      <w:r>
        <w:t xml:space="preserve">For and on behalf of</w:t>
      </w:r>
      <w:r>
        <w:br/>
      </w:r>
      <w:r>
        <w:rPr>
          <w:bCs/>
          <w:b/>
        </w:rPr>
        <w:t xml:space="preserve">Frankfurt Financial Advisory Group GmbH</w:t>
      </w:r>
      <w:r>
        <w:br/>
      </w:r>
      <w:r>
        <w:t xml:space="preserve">(Banker / Service Provider)</w:t>
      </w:r>
    </w:p>
    <w:p>
      <w:pPr>
        <w:pStyle w:val="BodyText"/>
      </w:pPr>
      <w:r>
        <w:t xml:space="preserve">Dr. Heinrich Vogel</w:t>
      </w:r>
      <w:r>
        <w:br/>
      </w:r>
      <w:r>
        <w:t xml:space="preserve">Senior Banker &amp; Managing Director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For and on behalf of</w:t>
      </w:r>
      <w:r>
        <w:br/>
      </w:r>
      <w:r>
        <w:rPr>
          <w:bCs/>
          <w:b/>
        </w:rPr>
        <w:t xml:space="preserve">[Client Company Name]</w:t>
      </w:r>
      <w:r>
        <w:br/>
      </w:r>
      <w:r>
        <w:t xml:space="preserve">(Client / Recipient)</w:t>
      </w:r>
    </w:p>
    <w:p>
      <w:pPr>
        <w:pStyle w:val="BodyText"/>
      </w:pPr>
      <w:r>
        <w:t xml:space="preserve">[Authorised Signatory Name]</w:t>
      </w:r>
      <w:r>
        <w:br/>
      </w:r>
      <w:r>
        <w:t xml:space="preserve">[Title]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Frankfurt Financial Advisory Group GmbH · Neue Mainzer Straße 12, 60311 Frankfurt am Main, Germany · USt-IdNr.: DE 312 456 789</w:t>
      </w:r>
    </w:p>
    <w:p>
      <w:pPr>
        <w:pStyle w:val="BodyText"/>
      </w:pPr>
      <w:r>
        <w:t xml:space="preserve">This Quotation Estimate (QTE-2025-FRA-00847) is a non-binding estimate of Banker services to be rendered in Germany Frankfurt. It does not constitute a binding contract until countersigned by both parties. © 2025 Frankfurt Financial Advisory Group GmbH.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– Banker Services – Germany Frankfurt</dc:title>
  <dc:creator/>
  <dc:language>en</dc:language>
  <cp:keywords/>
  <dcterms:created xsi:type="dcterms:W3CDTF">2026-10-10T08:37:33Z</dcterms:created>
  <dcterms:modified xsi:type="dcterms:W3CDTF">2026-10-10T08:37:33Z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content-width, initial-scale=1.0</vt:lpwstr>
  </property>
</Properties>
</file>