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quotation-estimate"/>
    <w:p>
      <w:pPr>
        <w:pStyle w:val="Heading1"/>
      </w:pPr>
      <w:r>
        <w:t xml:space="preserve">QUOTATION ESTIMATE</w:t>
      </w:r>
    </w:p>
    <w:p>
      <w:pPr>
        <w:pStyle w:val="FirstParagraph"/>
      </w:pPr>
      <w:r>
        <w:t xml:space="preserve">Professional Banker Services — Germany Munich</w:t>
      </w:r>
    </w:p>
    <w:p>
      <w:pPr>
        <w:pStyle w:val="BodyText"/>
      </w:pPr>
      <w:r>
        <w:t xml:space="preserve">Document Reference: QEST-BNK-MUC-2025-0472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QEST-BNK-MUC-2025-0472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Dr. Heinrich Vogel, Senior Banker &amp; Financial Advisor</w:t>
            </w:r>
          </w:p>
        </w:tc>
      </w:tr>
      <w:tr>
        <w:tc>
          <w:tcPr/>
          <w:p>
            <w:pPr>
              <w:pStyle w:val="Compact"/>
              <w:jc w:val="left"/>
            </w:pPr>
            <w:r>
              <w:t xml:space="preserve">Firm:</w:t>
            </w:r>
          </w:p>
        </w:tc>
        <w:tc>
          <w:tcPr/>
          <w:p>
            <w:pPr>
              <w:pStyle w:val="Compact"/>
              <w:jc w:val="left"/>
            </w:pPr>
            <w:r>
              <w:t xml:space="preserve">Vogel &amp; Partner Bankberatung GmbH, Marienplatz 12, 80331 Germany Munich</w:t>
            </w:r>
          </w:p>
        </w:tc>
      </w:tr>
      <w:tr>
        <w:tc>
          <w:tcPr/>
          <w:p>
            <w:pPr>
              <w:pStyle w:val="Compact"/>
              <w:jc w:val="left"/>
            </w:pPr>
            <w:r>
              <w:t xml:space="preserve">Client:</w:t>
            </w:r>
          </w:p>
        </w:tc>
        <w:tc>
          <w:tcPr/>
          <w:p>
            <w:pPr>
              <w:pStyle w:val="Compact"/>
              <w:jc w:val="left"/>
            </w:pPr>
            <w:r>
              <w:t xml:space="preserve">Alpine Industrial Holdings AG, Leopoldstrasse 45, 80802 Germany Munich</w:t>
            </w:r>
          </w:p>
        </w:tc>
      </w:tr>
      <w:tr>
        <w:tc>
          <w:tcPr/>
          <w:p>
            <w:pPr>
              <w:pStyle w:val="Compact"/>
              <w:jc w:val="left"/>
            </w:pPr>
            <w:r>
              <w:t xml:space="preserve">Currency:</w:t>
            </w:r>
          </w:p>
        </w:tc>
        <w:tc>
          <w:tcPr/>
          <w:p>
            <w:pPr>
              <w:pStyle w:val="Compact"/>
              <w:jc w:val="left"/>
            </w:pPr>
            <w:r>
              <w:t xml:space="preserve">Euro (EUR) — all figures exclusive of 19% German VAT (Mehrwertsteuer)</w:t>
            </w:r>
          </w:p>
        </w:tc>
      </w:tr>
    </w:tbl>
    <w:bookmarkStart w:id="21" w:name="purpose-of-this-quotation-estimate"/>
    <w:p>
      <w:pPr>
        <w:pStyle w:val="Heading2"/>
      </w:pPr>
      <w:r>
        <w:t xml:space="preserve">1. Purpose of This Quotation Estimate</w:t>
      </w:r>
    </w:p>
    <w:p>
      <w:pPr>
        <w:pStyle w:val="FirstParagraph"/>
      </w:pPr>
      <w:r>
        <w:t xml:space="preserve">This Quotation Estimate is issued by Vogel &amp; Partner Bankberatung GmbH to provide a comprehensive, itemised cost overview for the engagement of a dedicated</w:t>
      </w:r>
      <w:r>
        <w:t xml:space="preserve"> </w:t>
      </w:r>
      <w:r>
        <w:t xml:space="preserve">Banker</w:t>
      </w:r>
      <w:r>
        <w:t xml:space="preserve"> </w:t>
      </w:r>
      <w:r>
        <w:t xml:space="preserve">to deliver corporate banking, treasury management, and financial advisory services to Alpine Industrial Holdings AG. All services described herein will be performed in and around</w:t>
      </w:r>
      <w:r>
        <w:t xml:space="preserve"> </w:t>
      </w:r>
      <w:r>
        <w:t xml:space="preserve">Germany Munich</w:t>
      </w:r>
      <w:r>
        <w:t xml:space="preserve">, in full compliance with the regulations of the Bundesanstalt für Finanzdienstleistungsaufsicht (BaFin) and the applicable provisions of the German Banking Act (Kreditwesengesetz, KWG). This Quotation Estimate serves as a binding financial proposal for a period of thirty (30) days from the date of issue.</w:t>
      </w:r>
    </w:p>
    <w:bookmarkEnd w:id="21"/>
    <w:bookmarkStart w:id="22" w:name="scope-of-banker-services"/>
    <w:p>
      <w:pPr>
        <w:pStyle w:val="Heading2"/>
      </w:pPr>
      <w:r>
        <w:t xml:space="preserve">2. Scope of Banker Services</w:t>
      </w:r>
    </w:p>
    <w:p>
      <w:pPr>
        <w:pStyle w:val="FirstParagraph"/>
      </w:pPr>
      <w:r>
        <w:t xml:space="preserve">The appointed</w:t>
      </w:r>
      <w:r>
        <w:t xml:space="preserve"> </w:t>
      </w:r>
      <w:r>
        <w:t xml:space="preserve">Banker</w:t>
      </w:r>
      <w:r>
        <w:t xml:space="preserve"> </w:t>
      </w:r>
      <w:r>
        <w:t xml:space="preserve">will provide the following professional services to the Client, all conducted primarily at the Client's headquarters in</w:t>
      </w:r>
      <w:r>
        <w:t xml:space="preserve"> </w:t>
      </w:r>
      <w:r>
        <w:t xml:space="preserve">Germany Munich</w:t>
      </w:r>
      <w:r>
        <w:t xml:space="preserve"> </w:t>
      </w:r>
      <w:r>
        <w:t xml:space="preserve">and at the Banker's office on Marienplatz, Germany Munich:</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Frequency / Duration</w:t>
            </w:r>
          </w:p>
        </w:tc>
        <w:tc>
          <w:tcPr/>
          <w:p>
            <w:pPr>
              <w:pStyle w:val="Compact"/>
              <w:jc w:val="left"/>
            </w:pPr>
            <w:r>
              <w:t xml:space="preserve">Unit</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Corporate Account Management &amp; Daily Banking Operations — The Banker will oversee all corporate current accounts, manage liquidity flows, and coordinate interbank settlements for the Client's operations in Germany Munich and across the Eurozone.</w:t>
            </w:r>
          </w:p>
        </w:tc>
        <w:tc>
          <w:tcPr/>
          <w:p>
            <w:pPr>
              <w:pStyle w:val="Compact"/>
              <w:jc w:val="left"/>
            </w:pPr>
            <w:r>
              <w:t xml:space="preserve">Monthly retainer (12 months)</w:t>
            </w:r>
          </w:p>
        </w:tc>
        <w:tc>
          <w:tcPr/>
          <w:p>
            <w:pPr>
              <w:pStyle w:val="Compact"/>
              <w:jc w:val="left"/>
            </w:pPr>
            <w:r>
              <w:t xml:space="preserve">Month</w:t>
            </w:r>
          </w:p>
        </w:tc>
        <w:tc>
          <w:tcPr/>
          <w:p>
            <w:pPr>
              <w:pStyle w:val="Compact"/>
              <w:jc w:val="left"/>
            </w:pPr>
            <w:r>
              <w:t xml:space="preserve">4,800.00</w:t>
            </w:r>
          </w:p>
        </w:tc>
        <w:tc>
          <w:tcPr/>
          <w:p>
            <w:pPr>
              <w:pStyle w:val="Compact"/>
              <w:jc w:val="left"/>
            </w:pPr>
            <w:r>
              <w:t xml:space="preserve">57,600.00</w:t>
            </w:r>
          </w:p>
        </w:tc>
      </w:tr>
      <w:tr>
        <w:tc>
          <w:tcPr/>
          <w:p>
            <w:pPr>
              <w:pStyle w:val="Compact"/>
              <w:jc w:val="left"/>
            </w:pPr>
            <w:r>
              <w:t xml:space="preserve">02</w:t>
            </w:r>
          </w:p>
        </w:tc>
        <w:tc>
          <w:tcPr/>
          <w:p>
            <w:pPr>
              <w:pStyle w:val="Compact"/>
              <w:jc w:val="left"/>
            </w:pPr>
            <w:r>
              <w:t xml:space="preserve">Treasury &amp; Cash Management Advisory — The Banker will design and implement optimised cash pooling structures, foreign exchange hedging strategies, and short-term investment portfolios tailored to the Client's manufacturing supply chain in Germany Munich.</w:t>
            </w:r>
          </w:p>
        </w:tc>
        <w:tc>
          <w:tcPr/>
          <w:p>
            <w:pPr>
              <w:pStyle w:val="Compact"/>
              <w:jc w:val="left"/>
            </w:pPr>
            <w:r>
              <w:t xml:space="preserve">Quarterly review (4 cycles)</w:t>
            </w:r>
          </w:p>
        </w:tc>
        <w:tc>
          <w:tcPr/>
          <w:p>
            <w:pPr>
              <w:pStyle w:val="Compact"/>
              <w:jc w:val="left"/>
            </w:pPr>
            <w:r>
              <w:t xml:space="preserve">Quarter</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03</w:t>
            </w:r>
          </w:p>
        </w:tc>
        <w:tc>
          <w:tcPr/>
          <w:p>
            <w:pPr>
              <w:pStyle w:val="Compact"/>
              <w:jc w:val="left"/>
            </w:pPr>
            <w:r>
              <w:t xml:space="preserve">Capital Structure &amp; Financing Advisory — The Banker will assess the Client's long-term capital requirements, negotiate syndicated loan facilities with partner banks in Germany Munich, and prepare term sheets for potential bond issuances under German and EU prospectus regulations.</w:t>
            </w:r>
          </w:p>
        </w:tc>
        <w:tc>
          <w:tcPr/>
          <w:p>
            <w:pPr>
              <w:pStyle w:val="Compact"/>
              <w:jc w:val="left"/>
            </w:pPr>
            <w:r>
              <w:t xml:space="preserve">One-time engagement (up to 120 hours)</w:t>
            </w:r>
          </w:p>
        </w:tc>
        <w:tc>
          <w:tcPr/>
          <w:p>
            <w:pPr>
              <w:pStyle w:val="Compact"/>
              <w:jc w:val="left"/>
            </w:pPr>
            <w:r>
              <w:t xml:space="preserve">Hour</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04</w:t>
            </w:r>
          </w:p>
        </w:tc>
        <w:tc>
          <w:tcPr/>
          <w:p>
            <w:pPr>
              <w:pStyle w:val="Compact"/>
              <w:jc w:val="left"/>
            </w:pPr>
            <w:r>
              <w:t xml:space="preserve">Regulatory Compliance &amp; BaFin Reporting Support — The Banker will ensure all banking transactions comply with German anti-money-laundering directives (GwG), prepare quarterly compliance reports, and liaise directly with BaFin offices in Germany Munich on behalf of the Client.</w:t>
            </w:r>
          </w:p>
        </w:tc>
        <w:tc>
          <w:tcPr/>
          <w:p>
            <w:pPr>
              <w:pStyle w:val="Compact"/>
              <w:jc w:val="left"/>
            </w:pPr>
            <w:r>
              <w:t xml:space="preserve">Monthly retainer (12 months)</w:t>
            </w:r>
          </w:p>
        </w:tc>
        <w:tc>
          <w:tcPr/>
          <w:p>
            <w:pPr>
              <w:pStyle w:val="Compact"/>
              <w:jc w:val="left"/>
            </w:pPr>
            <w:r>
              <w:t xml:space="preserve">Month</w:t>
            </w:r>
          </w:p>
        </w:tc>
        <w:tc>
          <w:tcPr/>
          <w:p>
            <w:pPr>
              <w:pStyle w:val="Compact"/>
              <w:jc w:val="left"/>
            </w:pPr>
            <w:r>
              <w:t xml:space="preserve">2,100.00</w:t>
            </w:r>
          </w:p>
        </w:tc>
        <w:tc>
          <w:tcPr/>
          <w:p>
            <w:pPr>
              <w:pStyle w:val="Compact"/>
              <w:jc w:val="left"/>
            </w:pPr>
            <w:r>
              <w:t xml:space="preserve">25,200.00</w:t>
            </w:r>
          </w:p>
        </w:tc>
      </w:tr>
      <w:tr>
        <w:tc>
          <w:tcPr/>
          <w:p>
            <w:pPr>
              <w:pStyle w:val="Compact"/>
              <w:jc w:val="left"/>
            </w:pPr>
            <w:r>
              <w:t xml:space="preserve">05</w:t>
            </w:r>
          </w:p>
        </w:tc>
        <w:tc>
          <w:tcPr/>
          <w:p>
            <w:pPr>
              <w:pStyle w:val="Compact"/>
              <w:jc w:val="left"/>
            </w:pPr>
            <w:r>
              <w:t xml:space="preserve">Strategic Financial Planning &amp; Board Advisory — The Banker will attend up to six (6) board meetings per annum in Germany Munich, present financial performance analyses, and deliver forward-looking strategic recommendations aligned with the Client's five-year corporate plan.</w:t>
            </w:r>
          </w:p>
        </w:tc>
        <w:tc>
          <w:tcPr/>
          <w:p>
            <w:pPr>
              <w:pStyle w:val="Compact"/>
              <w:jc w:val="left"/>
            </w:pPr>
            <w:r>
              <w:t xml:space="preserve">Per session (6 sessions)</w:t>
            </w:r>
          </w:p>
        </w:tc>
        <w:tc>
          <w:tcPr/>
          <w:p>
            <w:pPr>
              <w:pStyle w:val="Compact"/>
              <w:jc w:val="left"/>
            </w:pPr>
            <w:r>
              <w:t xml:space="preserve">Session</w:t>
            </w:r>
          </w:p>
        </w:tc>
        <w:tc>
          <w:tcPr/>
          <w:p>
            <w:pPr>
              <w:pStyle w:val="Compact"/>
              <w:jc w:val="left"/>
            </w:pPr>
            <w:r>
              <w:t xml:space="preserve">1,950.00</w:t>
            </w:r>
          </w:p>
        </w:tc>
        <w:tc>
          <w:tcPr/>
          <w:p>
            <w:pPr>
              <w:pStyle w:val="Compact"/>
              <w:jc w:val="left"/>
            </w:pPr>
            <w:r>
              <w:t xml:space="preserve">11,700.00</w:t>
            </w:r>
          </w:p>
        </w:tc>
      </w:tr>
      <w:tr>
        <w:tc>
          <w:tcPr/>
          <w:p>
            <w:pPr>
              <w:pStyle w:val="Compact"/>
              <w:jc w:val="left"/>
            </w:pPr>
            <w:r>
              <w:t xml:space="preserve">06</w:t>
            </w:r>
          </w:p>
        </w:tc>
        <w:tc>
          <w:tcPr/>
          <w:p>
            <w:pPr>
              <w:pStyle w:val="Compact"/>
              <w:jc w:val="left"/>
            </w:pPr>
            <w:r>
              <w:t xml:space="preserve">On-Site Consultation &amp; Travel within Germany Munich — Includes up to 40 hours of on-site presence at the Client's premises in Germany Munich, including travel time within the Munich metropolitan area (München, Starnberg, Fürstenfeldbruck).</w:t>
            </w:r>
          </w:p>
        </w:tc>
        <w:tc>
          <w:tcPr/>
          <w:p>
            <w:pPr>
              <w:pStyle w:val="Compact"/>
              <w:jc w:val="left"/>
            </w:pPr>
            <w:r>
              <w:t xml:space="preserve">Annual allocation</w:t>
            </w:r>
          </w:p>
        </w:tc>
        <w:tc>
          <w:tcPr/>
          <w:p>
            <w:pPr>
              <w:pStyle w:val="Compact"/>
              <w:jc w:val="left"/>
            </w:pPr>
            <w:r>
              <w:t xml:space="preserve">Hour</w:t>
            </w:r>
          </w:p>
        </w:tc>
        <w:tc>
          <w:tcPr/>
          <w:p>
            <w:pPr>
              <w:pStyle w:val="Compact"/>
              <w:jc w:val="left"/>
            </w:pPr>
            <w:r>
              <w:t xml:space="preserve">195.00</w:t>
            </w:r>
          </w:p>
        </w:tc>
        <w:tc>
          <w:tcPr/>
          <w:p>
            <w:pPr>
              <w:pStyle w:val="Compact"/>
              <w:jc w:val="left"/>
            </w:pPr>
            <w:r>
              <w:t xml:space="preserve">7,800.00</w:t>
            </w:r>
          </w:p>
        </w:tc>
      </w:tr>
      <w:tr>
        <w:tc>
          <w:tcPr>
            <w:gridSpan w:val="5"/>
          </w:tcPr>
          <w:p>
            <w:pPr>
              <w:pStyle w:val="Compact"/>
              <w:jc w:val="right"/>
            </w:pPr>
            <w:r>
              <w:t xml:space="preserve">Subtotal (excl. VAT):</w:t>
            </w:r>
          </w:p>
        </w:tc>
        <w:tc>
          <w:tcPr/>
          <w:p>
            <w:pPr>
              <w:pStyle w:val="Compact"/>
              <w:jc w:val="left"/>
            </w:pPr>
            <w:r>
              <w:t xml:space="preserve">149,300.00</w:t>
            </w:r>
          </w:p>
        </w:tc>
      </w:tr>
      <w:tr>
        <w:tc>
          <w:tcPr>
            <w:gridSpan w:val="5"/>
          </w:tcPr>
          <w:p>
            <w:pPr>
              <w:pStyle w:val="Compact"/>
              <w:jc w:val="right"/>
            </w:pPr>
            <w:r>
              <w:t xml:space="preserve">German VAT (19%):</w:t>
            </w:r>
          </w:p>
        </w:tc>
        <w:tc>
          <w:tcPr/>
          <w:p>
            <w:pPr>
              <w:pStyle w:val="Compact"/>
              <w:jc w:val="left"/>
            </w:pPr>
            <w:r>
              <w:t xml:space="preserve">28,367.00</w:t>
            </w:r>
          </w:p>
        </w:tc>
      </w:tr>
      <w:tr>
        <w:tc>
          <w:tcPr>
            <w:gridSpan w:val="5"/>
          </w:tcPr>
          <w:p>
            <w:pPr>
              <w:pStyle w:val="Compact"/>
              <w:jc w:val="right"/>
            </w:pPr>
            <w:r>
              <w:t xml:space="preserve">TOTAL AMOUNT DUE (incl. VAT):</w:t>
            </w:r>
          </w:p>
        </w:tc>
        <w:tc>
          <w:tcPr/>
          <w:p>
            <w:pPr>
              <w:pStyle w:val="Compact"/>
              <w:jc w:val="left"/>
            </w:pPr>
            <w:r>
              <w:t xml:space="preserve">177,667.00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shall remain valid for thirty (30) calendar days from the date of issue. After expiry, all rates and service terms are subject to revision by the Banker.</w:t>
      </w:r>
    </w:p>
    <w:p>
      <w:pPr>
        <w:numPr>
          <w:ilvl w:val="0"/>
          <w:numId w:val="1001"/>
        </w:numPr>
        <w:pStyle w:val="Compact"/>
      </w:pPr>
      <w:r>
        <w:rPr>
          <w:bCs/>
          <w:b/>
        </w:rPr>
        <w:t xml:space="preserve">Payment Terms:</w:t>
      </w:r>
      <w:r>
        <w:t xml:space="preserve"> </w:t>
      </w:r>
      <w:r>
        <w:t xml:space="preserve">Invoices issued by the Banker are payable within fourteen (14) calendar days of invoice date via SEPA bank transfer to the account held at the Client's designated bank in Germany Munich. Late payments shall accrue interest at the statutory rate under Section 288 of the German Civil Code (BGB).</w:t>
      </w:r>
    </w:p>
    <w:p>
      <w:pPr>
        <w:numPr>
          <w:ilvl w:val="0"/>
          <w:numId w:val="1001"/>
        </w:numPr>
        <w:pStyle w:val="Compact"/>
      </w:pPr>
      <w:r>
        <w:rPr>
          <w:bCs/>
          <w:b/>
        </w:rPr>
        <w:t xml:space="preserve">Engagement Period:</w:t>
      </w:r>
      <w:r>
        <w:t xml:space="preserve"> </w:t>
      </w:r>
      <w:r>
        <w:t xml:space="preserve">The services outlined in this Quotation Estimate cover a twelve (12) month engagement period commencing on the date of written acceptance by the Client.</w:t>
      </w:r>
    </w:p>
    <w:p>
      <w:pPr>
        <w:numPr>
          <w:ilvl w:val="0"/>
          <w:numId w:val="1001"/>
        </w:numPr>
        <w:pStyle w:val="Compact"/>
      </w:pPr>
      <w:r>
        <w:rPr>
          <w:bCs/>
          <w:b/>
        </w:rPr>
        <w:t xml:space="preserve">Confidentiality:</w:t>
      </w:r>
      <w:r>
        <w:t xml:space="preserve"> </w:t>
      </w:r>
      <w:r>
        <w:t xml:space="preserve">The Banker undertakes to maintain strict confidentiality in accordance with Section 234 of the German Commercial Code (HGB) and the General Data Protection Regulation (GDPR/DSGVO). All client data processed in Germany Munich shall be stored on servers located within the European Union.</w:t>
      </w:r>
    </w:p>
    <w:p>
      <w:pPr>
        <w:numPr>
          <w:ilvl w:val="0"/>
          <w:numId w:val="1001"/>
        </w:numPr>
        <w:pStyle w:val="Compact"/>
      </w:pPr>
      <w:r>
        <w:rPr>
          <w:bCs/>
          <w:b/>
        </w:rPr>
        <w:t xml:space="preserve">Liability:</w:t>
      </w:r>
      <w:r>
        <w:t xml:space="preserve"> </w:t>
      </w:r>
      <w:r>
        <w:t xml:space="preserve">The Banker's liability for damages arising from the performance of services described in this Quotation Estimate shall be limited to the total fee amount specified herein, except in cases of gross negligence or willful misconduct as defined under German law.</w:t>
      </w:r>
    </w:p>
    <w:p>
      <w:pPr>
        <w:numPr>
          <w:ilvl w:val="0"/>
          <w:numId w:val="1001"/>
        </w:numPr>
        <w:pStyle w:val="Compact"/>
      </w:pPr>
      <w:r>
        <w:rPr>
          <w:bCs/>
          <w:b/>
        </w:rPr>
        <w:t xml:space="preserve">Governing Law:</w:t>
      </w:r>
      <w:r>
        <w:t xml:space="preserve"> </w:t>
      </w:r>
      <w:r>
        <w:t xml:space="preserve">This Quotation Estimate and any resulting contractual relationship shall be governed by and construed in accordance with the laws of the Federal Republic of Germany. The exclusive place of jurisdiction shall be the competent court in Germany Munich.</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war, or regulatory changes enacted by BaFin or the European Central Bank.</w:t>
      </w:r>
    </w:p>
    <w:p>
      <w:pPr>
        <w:pStyle w:val="FirstParagraph"/>
      </w:pPr>
      <w:r>
        <w:rPr>
          <w:bCs/>
          <w:b/>
        </w:rPr>
        <w:t xml:space="preserve">Important Note:</w:t>
      </w:r>
      <w:r>
        <w:t xml:space="preserve"> </w:t>
      </w:r>
      <w:r>
        <w:t xml:space="preserve">This Quotation Estimate is a non-binding proposal until formally accepted in writing by both parties. The Banker reserves the right to adjust service rates should the Client request additional scope beyond what is itemised above. All references to Germany Munich pertain to the city of München, Bavaria, Federal Republic of Germany. This document does not constitute a credit offer, loan commitment, or investment recommendation as defined under the German Securities Trading Act (WpHG).</w:t>
      </w:r>
    </w:p>
    <w:bookmarkEnd w:id="23"/>
    <w:bookmarkStart w:id="24" w:name="acceptance"/>
    <w:p>
      <w:pPr>
        <w:pStyle w:val="Heading2"/>
      </w:pPr>
      <w:r>
        <w:t xml:space="preserve">4. Acceptance</w:t>
      </w:r>
    </w:p>
    <w:p>
      <w:pPr>
        <w:pStyle w:val="FirstParagraph"/>
      </w:pPr>
      <w:r>
        <w:t xml:space="preserve">By signing below, the Client acknowledges receipt of this Quotation Estimate and agrees to the terms, conditions, and fee structure set forth herein for the engagement of the Banker for the services described. The Banker confirms availability to commence services within ten (10) business days of acceptance.</w:t>
      </w:r>
    </w:p>
    <w:p>
      <w:pPr>
        <w:pStyle w:val="BodyText"/>
      </w:pPr>
      <w:r>
        <w:rPr>
          <w:bCs/>
          <w:b/>
        </w:rPr>
        <w:t xml:space="preserve">Accepted on behalf of the Client:</w:t>
      </w:r>
      <w:r>
        <w:br/>
      </w:r>
      <w:r>
        <w:t xml:space="preserve">Alpine Industrial Holdings AG, Germany Munich</w:t>
      </w:r>
    </w:p>
    <w:p>
      <w:pPr>
        <w:pStyle w:val="BodyText"/>
      </w:pPr>
      <w:r>
        <w:rPr>
          <w:bCs/>
          <w:b/>
        </w:rPr>
        <w:t xml:space="preserve">For the Client</w:t>
      </w:r>
      <w:r>
        <w:br/>
      </w:r>
      <w:r>
        <w:t xml:space="preserve">Name: ___________________________</w:t>
      </w:r>
      <w:r>
        <w:br/>
      </w:r>
      <w:r>
        <w:t xml:space="preserve">Title: ___________________________</w:t>
      </w:r>
      <w:r>
        <w:br/>
      </w:r>
      <w:r>
        <w:t xml:space="preserve">Signature &amp; Date: _______________</w:t>
      </w:r>
    </w:p>
    <w:p>
      <w:pPr>
        <w:pStyle w:val="BodyText"/>
      </w:pPr>
      <w:r>
        <w:rPr>
          <w:bCs/>
          <w:b/>
        </w:rPr>
        <w:t xml:space="preserve">For the Banker / Firm</w:t>
      </w:r>
      <w:r>
        <w:br/>
      </w:r>
      <w:r>
        <w:t xml:space="preserve">Name: Dr. Heinrich Vogel</w:t>
      </w:r>
      <w:r>
        <w:br/>
      </w:r>
      <w:r>
        <w:t xml:space="preserve">Title: Senior Banker, Vogel &amp; Partner Bankberatung GmbH</w:t>
      </w:r>
      <w:r>
        <w:br/>
      </w:r>
      <w:r>
        <w:t xml:space="preserve">Signature &amp; Date: _______________</w:t>
      </w:r>
    </w:p>
    <w:p>
      <w:pPr>
        <w:pStyle w:val="BodyText"/>
      </w:pPr>
      <w:r>
        <w:t xml:space="preserve">Vogel &amp; Partner Bankberatung GmbH — Marienplatz 12, 80331 Germany Munich — HRB 184729, Amtsgericht München</w:t>
      </w:r>
      <w:r>
        <w:br/>
      </w:r>
      <w:r>
        <w:t xml:space="preserve">USt-IdNr.: DE 294 817 305 — BaFin License No.: 151139</w:t>
      </w:r>
      <w:r>
        <w:br/>
      </w:r>
      <w:r>
        <w:t xml:space="preserve">This Quotation Estimate was prepared exclusively for the named Client and may not be reproduced or distributed without prior written consent of the Banker.</w:t>
      </w:r>
      <w:r>
        <w:br/>
      </w:r>
      <w:r>
        <w:t xml:space="preserve">© 2025 Vogel &amp; Partner Bankberatung GmbH.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Germany Munich</dc:title>
  <dc:creator/>
  <dc:language>en</dc:language>
  <cp:keywords/>
  <dcterms:created xsi:type="dcterms:W3CDTF">2026-10-10T06:10:48Z</dcterms:created>
  <dcterms:modified xsi:type="dcterms:W3CDTF">2026-10-10T06:10:48Z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