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Banker Financial Services &amp; Advisory Solutions</w:t>
      </w:r>
    </w:p>
    <w:p>
      <w:pPr>
        <w:pStyle w:val="BodyText"/>
      </w:pPr>
      <w:r>
        <w:t xml:space="preserve">Registered Office: 12, Connaught Place, New Delhi – 110001, India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BNK/ND/2025/0472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Prepared By:</w:t>
            </w:r>
          </w:p>
        </w:tc>
        <w:tc>
          <w:tcPr/>
          <w:p>
            <w:pPr>
              <w:pStyle w:val="Compact"/>
              <w:jc w:val="left"/>
            </w:pPr>
            <w:r>
              <w:t xml:space="preserve">Banker Advisory Group, New Delhi</w:t>
            </w:r>
          </w:p>
        </w:tc>
        <w:tc>
          <w:tcPr/>
          <w:p>
            <w:pPr>
              <w:pStyle w:val="Compact"/>
              <w:jc w:val="left"/>
            </w:pPr>
            <w:r>
              <w:t xml:space="preserve">Region:</w:t>
            </w:r>
          </w:p>
        </w:tc>
        <w:tc>
          <w:tcPr/>
          <w:p>
            <w:pPr>
              <w:pStyle w:val="Compact"/>
              <w:jc w:val="left"/>
            </w:pPr>
            <w:r>
              <w:t xml:space="preserve">India – New Delhi (NCR)</w:t>
            </w:r>
          </w:p>
        </w:tc>
      </w:tr>
    </w:tbl>
    <w:bookmarkStart w:id="21" w:name="client-recipient-details"/>
    <w:p>
      <w:pPr>
        <w:pStyle w:val="Heading2"/>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Shri Arjun Mehta (Proprietor), Mehta Trading &amp; Logistics Pvt. Ltd.</w:t>
            </w:r>
          </w:p>
        </w:tc>
      </w:tr>
      <w:tr>
        <w:tc>
          <w:tcPr/>
          <w:p>
            <w:pPr>
              <w:pStyle w:val="Compact"/>
              <w:jc w:val="left"/>
            </w:pPr>
            <w:r>
              <w:t xml:space="preserve">Address:</w:t>
            </w:r>
          </w:p>
        </w:tc>
        <w:tc>
          <w:tcPr/>
          <w:p>
            <w:pPr>
              <w:pStyle w:val="Compact"/>
              <w:jc w:val="left"/>
            </w:pPr>
            <w:r>
              <w:t xml:space="preserve">45-B, Bhikaji Cama Place, New Delhi – 110066, India</w:t>
            </w:r>
          </w:p>
        </w:tc>
      </w:tr>
      <w:tr>
        <w:tc>
          <w:tcPr/>
          <w:p>
            <w:pPr>
              <w:pStyle w:val="Compact"/>
              <w:jc w:val="left"/>
            </w:pPr>
            <w:r>
              <w:t xml:space="preserve">GSTIN:</w:t>
            </w:r>
          </w:p>
        </w:tc>
        <w:tc>
          <w:tcPr/>
          <w:p>
            <w:pPr>
              <w:pStyle w:val="Compact"/>
              <w:jc w:val="left"/>
            </w:pPr>
            <w:r>
              <w:t xml:space="preserve">07AABCM1234F1Z5</w:t>
            </w:r>
          </w:p>
        </w:tc>
      </w:tr>
      <w:tr>
        <w:tc>
          <w:tcPr/>
          <w:p>
            <w:pPr>
              <w:pStyle w:val="Compact"/>
              <w:jc w:val="left"/>
            </w:pPr>
            <w:r>
              <w:t xml:space="preserve">Contact:</w:t>
            </w:r>
          </w:p>
        </w:tc>
        <w:tc>
          <w:tcPr/>
          <w:p>
            <w:pPr>
              <w:pStyle w:val="Compact"/>
              <w:jc w:val="left"/>
            </w:pPr>
            <w:r>
              <w:t xml:space="preserve">+91-98110-XXXXX | arjun.mehta@mehtatrade.in</w:t>
            </w:r>
          </w:p>
        </w:tc>
      </w:tr>
    </w:tbl>
    <w:bookmarkEnd w:id="21"/>
    <w:bookmarkStart w:id="22" w:name="X741fb3d56908ecc0485b51a17c9f754a63f2c9b"/>
    <w:p>
      <w:pPr>
        <w:pStyle w:val="Heading2"/>
      </w:pPr>
      <w:r>
        <w:t xml:space="preserve">2. Scope of Services – Banker Advisory &amp; Financial Solutions</w:t>
      </w:r>
    </w:p>
    <w:p>
      <w:pPr>
        <w:pStyle w:val="FirstParagraph"/>
      </w:pPr>
      <w:r>
        <w:t xml:space="preserve">This</w:t>
      </w:r>
      <w:r>
        <w:t xml:space="preserve"> </w:t>
      </w:r>
      <w:r>
        <w:t xml:space="preserve">Quotation Estimate</w:t>
      </w:r>
      <w:r>
        <w:t xml:space="preserve"> </w:t>
      </w:r>
      <w:r>
        <w:t xml:space="preserve">is issued by</w:t>
      </w:r>
      <w:r>
        <w:t xml:space="preserve"> </w:t>
      </w:r>
      <w:r>
        <w:t xml:space="preserve">Banker</w:t>
      </w:r>
      <w:r>
        <w:t xml:space="preserve"> </w:t>
      </w:r>
      <w:r>
        <w:t xml:space="preserve">Advisory Group, a duly registered financial consultancy operating out of</w:t>
      </w:r>
      <w:r>
        <w:t xml:space="preserve"> </w:t>
      </w:r>
      <w:r>
        <w:t xml:space="preserve">India, New Delhi</w:t>
      </w:r>
      <w:r>
        <w:t xml:space="preserve">, in response to the client's written request dated 02 June 2025. The scope encompasses comprehensive banking advisory, corporate treasury management, working capital structuring, and regulatory compliance support tailored to the client's trade and logistics operations within the National Capital Region of India.</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Corporate Banking Relationship Setup &amp; Account Structuring – Opening and configuring current, savings, and NRE/NRO accounts with Tier-1 banks in New Delhi</w:t>
            </w:r>
          </w:p>
        </w:tc>
        <w:tc>
          <w:tcPr/>
          <w:p>
            <w:pPr>
              <w:pStyle w:val="Compact"/>
              <w:jc w:val="left"/>
            </w:pPr>
            <w:r>
              <w:t xml:space="preserve">One-time</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Incl. KYC &amp; compliance</w:t>
            </w:r>
          </w:p>
        </w:tc>
      </w:tr>
      <w:tr>
        <w:tc>
          <w:tcPr/>
          <w:p>
            <w:pPr>
              <w:pStyle w:val="Compact"/>
              <w:jc w:val="left"/>
            </w:pPr>
            <w:r>
              <w:t xml:space="preserve">2</w:t>
            </w:r>
          </w:p>
        </w:tc>
        <w:tc>
          <w:tcPr/>
          <w:p>
            <w:pPr>
              <w:pStyle w:val="Compact"/>
              <w:jc w:val="left"/>
            </w:pPr>
            <w:r>
              <w:t xml:space="preserve">Working Capital &amp; Trade Finance Advisory – Structuring of LC, BG, and short-term credit facilities for import/export operations</w:t>
            </w:r>
          </w:p>
        </w:tc>
        <w:tc>
          <w:tcPr/>
          <w:p>
            <w:pPr>
              <w:pStyle w:val="Compact"/>
              <w:jc w:val="left"/>
            </w:pPr>
            <w:r>
              <w:t xml:space="preserve">3 Months</w:t>
            </w:r>
          </w:p>
        </w:tc>
        <w:tc>
          <w:tcPr/>
          <w:p>
            <w:pPr>
              <w:pStyle w:val="Compact"/>
              <w:jc w:val="left"/>
            </w:pPr>
            <w:r>
              <w:t xml:space="preserve">₹ 1,20,000</w:t>
            </w:r>
          </w:p>
        </w:tc>
        <w:tc>
          <w:tcPr/>
          <w:p>
            <w:pPr>
              <w:pStyle w:val="Compact"/>
              <w:jc w:val="left"/>
            </w:pPr>
            <w:r>
              <w:t xml:space="preserve">₹ 3,60,000</w:t>
            </w:r>
          </w:p>
        </w:tc>
        <w:tc>
          <w:tcPr/>
          <w:p>
            <w:pPr>
              <w:pStyle w:val="Compact"/>
              <w:jc w:val="left"/>
            </w:pPr>
            <w:r>
              <w:t xml:space="preserve">Quarterly review</w:t>
            </w:r>
          </w:p>
        </w:tc>
      </w:tr>
      <w:tr>
        <w:tc>
          <w:tcPr/>
          <w:p>
            <w:pPr>
              <w:pStyle w:val="Compact"/>
              <w:jc w:val="left"/>
            </w:pPr>
            <w:r>
              <w:t xml:space="preserve">3</w:t>
            </w:r>
          </w:p>
        </w:tc>
        <w:tc>
          <w:tcPr/>
          <w:p>
            <w:pPr>
              <w:pStyle w:val="Compact"/>
              <w:jc w:val="left"/>
            </w:pPr>
            <w:r>
              <w:t xml:space="preserve">Treasury Management &amp; Cash Flow Optimisation – Daily fund sweep, inter-bank transfer coordination, and liquidity planning</w:t>
            </w:r>
          </w:p>
        </w:tc>
        <w:tc>
          <w:tcPr/>
          <w:p>
            <w:pPr>
              <w:pStyle w:val="Compact"/>
              <w:jc w:val="left"/>
            </w:pPr>
            <w:r>
              <w:t xml:space="preserve">12 Months</w:t>
            </w:r>
          </w:p>
        </w:tc>
        <w:tc>
          <w:tcPr/>
          <w:p>
            <w:pPr>
              <w:pStyle w:val="Compact"/>
              <w:jc w:val="left"/>
            </w:pPr>
            <w:r>
              <w:t xml:space="preserve">₹ 85,000/mo</w:t>
            </w:r>
          </w:p>
        </w:tc>
        <w:tc>
          <w:tcPr/>
          <w:p>
            <w:pPr>
              <w:pStyle w:val="Compact"/>
              <w:jc w:val="left"/>
            </w:pPr>
            <w:r>
              <w:t xml:space="preserve">₹ 10,20,000</w:t>
            </w:r>
          </w:p>
        </w:tc>
        <w:tc>
          <w:tcPr/>
          <w:p>
            <w:pPr>
              <w:pStyle w:val="Compact"/>
              <w:jc w:val="left"/>
            </w:pPr>
            <w:r>
              <w:t xml:space="preserve">Monthly reporting</w:t>
            </w:r>
          </w:p>
        </w:tc>
      </w:tr>
      <w:tr>
        <w:tc>
          <w:tcPr/>
          <w:p>
            <w:pPr>
              <w:pStyle w:val="Compact"/>
              <w:jc w:val="left"/>
            </w:pPr>
            <w:r>
              <w:t xml:space="preserve">4</w:t>
            </w:r>
          </w:p>
        </w:tc>
        <w:tc>
          <w:tcPr/>
          <w:p>
            <w:pPr>
              <w:pStyle w:val="Compact"/>
              <w:jc w:val="left"/>
            </w:pPr>
            <w:r>
              <w:t xml:space="preserve">Regulatory Compliance &amp; RBI Filing Support – FEMA, FEMA-2000, and FEMA-2019 compliance, annual returns, and audit liaison</w:t>
            </w:r>
          </w:p>
        </w:tc>
        <w:tc>
          <w:tcPr/>
          <w:p>
            <w:pPr>
              <w:pStyle w:val="Compact"/>
              <w:jc w:val="left"/>
            </w:pPr>
            <w:r>
              <w:t xml:space="preserve">12 Months</w:t>
            </w:r>
          </w:p>
        </w:tc>
        <w:tc>
          <w:tcPr/>
          <w:p>
            <w:pPr>
              <w:pStyle w:val="Compact"/>
              <w:jc w:val="left"/>
            </w:pPr>
            <w:r>
              <w:t xml:space="preserve">₹ 60,000/mo</w:t>
            </w:r>
          </w:p>
        </w:tc>
        <w:tc>
          <w:tcPr/>
          <w:p>
            <w:pPr>
              <w:pStyle w:val="Compact"/>
              <w:jc w:val="left"/>
            </w:pPr>
            <w:r>
              <w:t xml:space="preserve">₹ 7,20,000</w:t>
            </w:r>
          </w:p>
        </w:tc>
        <w:tc>
          <w:tcPr/>
          <w:p>
            <w:pPr>
              <w:pStyle w:val="Compact"/>
              <w:jc w:val="left"/>
            </w:pPr>
            <w:r>
              <w:t xml:space="preserve">Per RBI guidelines</w:t>
            </w:r>
          </w:p>
        </w:tc>
      </w:tr>
      <w:tr>
        <w:tc>
          <w:tcPr/>
          <w:p>
            <w:pPr>
              <w:pStyle w:val="Compact"/>
              <w:jc w:val="left"/>
            </w:pPr>
            <w:r>
              <w:t xml:space="preserve">5</w:t>
            </w:r>
          </w:p>
        </w:tc>
        <w:tc>
          <w:tcPr/>
          <w:p>
            <w:pPr>
              <w:pStyle w:val="Compact"/>
              <w:jc w:val="left"/>
            </w:pPr>
            <w:r>
              <w:t xml:space="preserve">Banker's Certificate &amp; Financial Reference Letter Procurement – Facilitation of banker's certificates for tenders, government contracts, and vendor onboarding in New Delhi</w:t>
            </w:r>
          </w:p>
        </w:tc>
        <w:tc>
          <w:tcPr/>
          <w:p>
            <w:pPr>
              <w:pStyle w:val="Compact"/>
              <w:jc w:val="left"/>
            </w:pPr>
            <w:r>
              <w:t xml:space="preserve">One-time</w:t>
            </w:r>
          </w:p>
        </w:tc>
        <w:tc>
          <w:tcPr/>
          <w:p>
            <w:pPr>
              <w:pStyle w:val="Compact"/>
              <w:jc w:val="left"/>
            </w:pPr>
            <w:r>
              <w:t xml:space="preserve">₹ 25,000</w:t>
            </w:r>
          </w:p>
        </w:tc>
        <w:tc>
          <w:tcPr/>
          <w:p>
            <w:pPr>
              <w:pStyle w:val="Compact"/>
              <w:jc w:val="left"/>
            </w:pPr>
            <w:r>
              <w:t xml:space="preserve">₹ 25,000</w:t>
            </w:r>
          </w:p>
        </w:tc>
        <w:tc>
          <w:tcPr/>
          <w:p>
            <w:pPr>
              <w:pStyle w:val="Compact"/>
              <w:jc w:val="left"/>
            </w:pPr>
            <w:r>
              <w:t xml:space="preserve">Up to 3 certificates</w:t>
            </w:r>
          </w:p>
        </w:tc>
      </w:tr>
      <w:tr>
        <w:tc>
          <w:tcPr/>
          <w:p>
            <w:pPr>
              <w:pStyle w:val="Compact"/>
              <w:jc w:val="left"/>
            </w:pPr>
            <w:r>
              <w:t xml:space="preserve">6</w:t>
            </w:r>
          </w:p>
        </w:tc>
        <w:tc>
          <w:tcPr/>
          <w:p>
            <w:pPr>
              <w:pStyle w:val="Compact"/>
              <w:jc w:val="left"/>
            </w:pPr>
            <w:r>
              <w:t xml:space="preserve">On-site Consultation &amp; Site Visits – Physical meetings at client premises in New Delhi and coordination visits to bank branches in Connaught Place, Karol Bagh, and Lajpat Nagar</w:t>
            </w:r>
          </w:p>
        </w:tc>
        <w:tc>
          <w:tcPr/>
          <w:p>
            <w:pPr>
              <w:pStyle w:val="Compact"/>
              <w:jc w:val="left"/>
            </w:pPr>
            <w:r>
              <w:t xml:space="preserve">12 Months</w:t>
            </w:r>
          </w:p>
        </w:tc>
        <w:tc>
          <w:tcPr/>
          <w:p>
            <w:pPr>
              <w:pStyle w:val="Compact"/>
              <w:jc w:val="left"/>
            </w:pPr>
            <w:r>
              <w:t xml:space="preserve">₹ 15,000/visit</w:t>
            </w:r>
          </w:p>
        </w:tc>
        <w:tc>
          <w:tcPr/>
          <w:p>
            <w:pPr>
              <w:pStyle w:val="Compact"/>
              <w:jc w:val="left"/>
            </w:pPr>
            <w:r>
              <w:t xml:space="preserve">₹ 1,80,000</w:t>
            </w:r>
          </w:p>
        </w:tc>
        <w:tc>
          <w:tcPr/>
          <w:p>
            <w:pPr>
              <w:pStyle w:val="Compact"/>
              <w:jc w:val="left"/>
            </w:pPr>
            <w:r>
              <w:t xml:space="preserve">Max 12 visits</w:t>
            </w:r>
          </w:p>
        </w:tc>
      </w:tr>
      <w:tr>
        <w:tc>
          <w:tcPr/>
          <w:p>
            <w:pPr>
              <w:pStyle w:val="Compact"/>
              <w:jc w:val="left"/>
            </w:pPr>
            <w:r>
              <w:t xml:space="preserve">7</w:t>
            </w:r>
          </w:p>
        </w:tc>
        <w:tc>
          <w:tcPr/>
          <w:p>
            <w:pPr>
              <w:pStyle w:val="Compact"/>
              <w:jc w:val="left"/>
            </w:pPr>
            <w:r>
              <w:t xml:space="preserve">Digital Banking &amp; Core Banking Integration Support – UPI, NEFT, RTGS, IMPS setup, API integration, and e-invoicing configuration</w:t>
            </w:r>
          </w:p>
        </w:tc>
        <w:tc>
          <w:tcPr/>
          <w:p>
            <w:pPr>
              <w:pStyle w:val="Compact"/>
              <w:jc w:val="left"/>
            </w:pPr>
            <w:r>
              <w:t xml:space="preserve">One-time</w:t>
            </w:r>
          </w:p>
        </w:tc>
        <w:tc>
          <w:tcPr/>
          <w:p>
            <w:pPr>
              <w:pStyle w:val="Compact"/>
              <w:jc w:val="left"/>
            </w:pPr>
            <w:r>
              <w:t xml:space="preserve">₹ 55,000</w:t>
            </w:r>
          </w:p>
        </w:tc>
        <w:tc>
          <w:tcPr/>
          <w:p>
            <w:pPr>
              <w:pStyle w:val="Compact"/>
              <w:jc w:val="left"/>
            </w:pPr>
            <w:r>
              <w:t xml:space="preserve">₹ 55,000</w:t>
            </w:r>
          </w:p>
        </w:tc>
        <w:tc>
          <w:tcPr/>
          <w:p>
            <w:pPr>
              <w:pStyle w:val="Compact"/>
              <w:jc w:val="left"/>
            </w:pPr>
            <w:r>
              <w:t xml:space="preserve">Training incl.</w:t>
            </w:r>
          </w:p>
        </w:tc>
      </w:tr>
      <w:tr>
        <w:tc>
          <w:tcPr/>
          <w:p>
            <w:pPr>
              <w:pStyle w:val="Compact"/>
              <w:jc w:val="left"/>
            </w:pPr>
            <w:r>
              <w:t xml:space="preserve">8</w:t>
            </w:r>
          </w:p>
        </w:tc>
        <w:tc>
          <w:tcPr/>
          <w:p>
            <w:pPr>
              <w:pStyle w:val="Compact"/>
              <w:jc w:val="left"/>
            </w:pPr>
            <w:r>
              <w:t xml:space="preserve">Contingency &amp; Risk Advisory – Credit risk assessment, counterparty due diligence, and insurance liaison for banking exposures</w:t>
            </w:r>
          </w:p>
        </w:tc>
        <w:tc>
          <w:tcPr/>
          <w:p>
            <w:pPr>
              <w:pStyle w:val="Compact"/>
              <w:jc w:val="left"/>
            </w:pPr>
            <w:r>
              <w:t xml:space="preserve">12 Months</w:t>
            </w:r>
          </w:p>
        </w:tc>
        <w:tc>
          <w:tcPr/>
          <w:p>
            <w:pPr>
              <w:pStyle w:val="Compact"/>
              <w:jc w:val="left"/>
            </w:pPr>
            <w:r>
              <w:t xml:space="preserve">₹ 40,000/mo</w:t>
            </w:r>
          </w:p>
        </w:tc>
        <w:tc>
          <w:tcPr/>
          <w:p>
            <w:pPr>
              <w:pStyle w:val="Compact"/>
              <w:jc w:val="left"/>
            </w:pPr>
            <w:r>
              <w:t xml:space="preserve">₹ 4,80,000</w:t>
            </w:r>
          </w:p>
        </w:tc>
        <w:tc>
          <w:tcPr/>
          <w:p>
            <w:pPr>
              <w:pStyle w:val="Compact"/>
              <w:jc w:val="left"/>
            </w:pPr>
            <w:r>
              <w:t xml:space="preserve">Quarterly reports</w:t>
            </w:r>
          </w:p>
        </w:tc>
      </w:tr>
      <w:tr>
        <w:tc>
          <w:tcPr>
            <w:gridSpan w:val="4"/>
          </w:tcPr>
          <w:p>
            <w:pPr>
              <w:pStyle w:val="Compact"/>
              <w:jc w:val="right"/>
            </w:pPr>
            <w:r>
              <w:t xml:space="preserve">Sub-Total (Excluding GST):</w:t>
            </w:r>
          </w:p>
        </w:tc>
        <w:tc>
          <w:tcPr/>
          <w:p>
            <w:pPr>
              <w:pStyle w:val="Compact"/>
              <w:jc w:val="left"/>
            </w:pPr>
            <w:r>
              <w:t xml:space="preserve">₹ 27,85,000</w:t>
            </w:r>
          </w:p>
        </w:tc>
        <w:tc>
          <w:tcPr/>
          <w:p>
            <w:pPr>
              <w:pStyle w:val="Compact"/>
            </w:pPr>
          </w:p>
        </w:tc>
      </w:tr>
      <w:tr>
        <w:tc>
          <w:tcPr>
            <w:gridSpan w:val="4"/>
          </w:tcPr>
          <w:p>
            <w:pPr>
              <w:pStyle w:val="Compact"/>
              <w:jc w:val="right"/>
            </w:pPr>
            <w:r>
              <w:t xml:space="preserve">GST @ 18% (as applicable under Indian tax law):</w:t>
            </w:r>
          </w:p>
        </w:tc>
        <w:tc>
          <w:tcPr/>
          <w:p>
            <w:pPr>
              <w:pStyle w:val="Compact"/>
              <w:jc w:val="left"/>
            </w:pPr>
            <w:r>
              <w:t xml:space="preserve">₹ 5,01,300</w:t>
            </w:r>
          </w:p>
        </w:tc>
        <w:tc>
          <w:tcPr/>
          <w:p>
            <w:pPr>
              <w:pStyle w:val="Compact"/>
            </w:pPr>
          </w:p>
        </w:tc>
      </w:tr>
      <w:tr>
        <w:tc>
          <w:tcPr>
            <w:gridSpan w:val="4"/>
          </w:tcPr>
          <w:p>
            <w:pPr>
              <w:pStyle w:val="Compact"/>
              <w:jc w:val="right"/>
            </w:pPr>
            <w:r>
              <w:t xml:space="preserve">GRAND TOTAL (Quotation Estimate Amount):</w:t>
            </w:r>
          </w:p>
        </w:tc>
        <w:tc>
          <w:tcPr/>
          <w:p>
            <w:pPr>
              <w:pStyle w:val="Compact"/>
              <w:jc w:val="left"/>
            </w:pPr>
            <w:r>
              <w:t xml:space="preserve">₹ 32,86,300</w:t>
            </w:r>
          </w:p>
        </w:tc>
        <w:tc>
          <w:tcPr/>
          <w:p>
            <w:pPr>
              <w:pStyle w:val="Compact"/>
              <w:jc w:val="left"/>
            </w:pPr>
            <w:r>
              <w:t xml:space="preserve">INR</w:t>
            </w:r>
          </w:p>
        </w:tc>
      </w:tr>
    </w:tbl>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w:t>
      </w:r>
      <w:r>
        <w:t xml:space="preserve"> </w:t>
      </w:r>
      <w:r>
        <w:t xml:space="preserve">Banker</w:t>
      </w:r>
      <w:r>
        <w:t xml:space="preserve"> </w:t>
      </w:r>
      <w:r>
        <w:t xml:space="preserve">Advisory Group reserves the right to revise rates based on prevailing market conditions in</w:t>
      </w:r>
      <w:r>
        <w:t xml:space="preserve"> </w:t>
      </w:r>
      <w:r>
        <w:t xml:space="preserve">India, New Delhi</w:t>
      </w:r>
      <w:r>
        <w:t xml:space="preserve">.</w:t>
      </w:r>
    </w:p>
    <w:p>
      <w:pPr>
        <w:numPr>
          <w:ilvl w:val="0"/>
          <w:numId w:val="1001"/>
        </w:numPr>
        <w:pStyle w:val="Compact"/>
      </w:pPr>
      <w:r>
        <w:t xml:space="preserve">All amounts quoted are in Indian Rupees (INR) and are inclusive of professional fees. Applicable Goods and Services Tax (GST) at 18% has been calculated separately as per the Central Goods and Services Tax Act, 2017, and applicable state rules for Delhi.</w:t>
      </w:r>
    </w:p>
    <w:p>
      <w:pPr>
        <w:numPr>
          <w:ilvl w:val="0"/>
          <w:numId w:val="1001"/>
        </w:numPr>
        <w:pStyle w:val="Compact"/>
      </w:pPr>
      <w:r>
        <w:t xml:space="preserve">Payment Terms: 40% advance upon acceptance of this Quotation Estimate, 30% upon completion of the first quarter of engagement, and the remaining 30% upon successful delivery of all deliverables. Payments shall be made via NEFT/RTGS to the designated bank account of Banker Advisory Group, New Delhi.</w:t>
      </w:r>
    </w:p>
    <w:p>
      <w:pPr>
        <w:numPr>
          <w:ilvl w:val="0"/>
          <w:numId w:val="1001"/>
        </w:numPr>
        <w:pStyle w:val="Compact"/>
      </w:pPr>
      <w:r>
        <w:t xml:space="preserve">The services described herein are to be performed by qualified and experienced banking professionals, chartered accountants, and financial advisors registered and operating within the jurisdiction of New Delhi, India. All advisory work shall comply with the Reserve Bank of India (RBI) guidelines, SEBI regulations (where applicable), and the Companies Act, 2013.</w:t>
      </w:r>
    </w:p>
    <w:p>
      <w:pPr>
        <w:numPr>
          <w:ilvl w:val="0"/>
          <w:numId w:val="1001"/>
        </w:numPr>
        <w:pStyle w:val="Compact"/>
      </w:pPr>
      <w:r>
        <w:t xml:space="preserve">Banker Advisory Group shall maintain strict confidentiality of all financial data, account details, and trade information shared by the client. A Non-Disclosure Agreement (NDA) shall be executed prior to the commencement of services.</w:t>
      </w:r>
    </w:p>
    <w:p>
      <w:pPr>
        <w:numPr>
          <w:ilvl w:val="0"/>
          <w:numId w:val="1001"/>
        </w:numPr>
        <w:pStyle w:val="Compact"/>
      </w:pPr>
      <w:r>
        <w:t xml:space="preserve">Any additional services beyond the scope outlined in this Quotation Estimate shall be subject to a separate written amendment and additional charges as mutually agreed upon in writing.</w:t>
      </w:r>
    </w:p>
    <w:p>
      <w:pPr>
        <w:numPr>
          <w:ilvl w:val="0"/>
          <w:numId w:val="1001"/>
        </w:numPr>
        <w:pStyle w:val="Compact"/>
      </w:pPr>
      <w:r>
        <w:t xml:space="preserve">This Quotation Estimate does not constitute a binding contract until formally accepted in writing by the client and countersigned by an authorised representative of Banker Advisory Group, New Delhi.</w:t>
      </w:r>
    </w:p>
    <w:p>
      <w:pPr>
        <w:numPr>
          <w:ilvl w:val="0"/>
          <w:numId w:val="1001"/>
        </w:numPr>
        <w:pStyle w:val="Compact"/>
      </w:pPr>
      <w:r>
        <w:t xml:space="preserve">Disputes, if any, arising out of or in connection with this Quotation Estimate shall be subject to the exclusive jurisdiction of the competent courts in New Delhi, India.</w:t>
      </w:r>
    </w:p>
    <w:p>
      <w:pPr>
        <w:numPr>
          <w:ilvl w:val="0"/>
          <w:numId w:val="1001"/>
        </w:numPr>
        <w:pStyle w:val="Compact"/>
      </w:pPr>
      <w:r>
        <w:t xml:space="preserve">All site visits and on-site consultations are limited to the National Capital Territory of Delhi and the National Capital Region (NCR). Travel to locations outside NCR shall attract additional travel and accommodation charges at actual cost.</w:t>
      </w:r>
    </w:p>
    <w:p>
      <w:pPr>
        <w:numPr>
          <w:ilvl w:val="0"/>
          <w:numId w:val="1001"/>
        </w:numPr>
        <w:pStyle w:val="Compact"/>
      </w:pPr>
      <w:r>
        <w:t xml:space="preserve">Banker Advisory Group is not a licensed bank or a Non-Banking Financial Company (NBFC). The firm acts solely as an independent financial consultant and advisor. All banking transactions, account openings, and credit facilities are to be executed directly between the client and the respective scheduled commercial bank.</w:t>
      </w:r>
    </w:p>
    <w:bookmarkEnd w:id="24"/>
    <w:bookmarkStart w:id="25" w:name="acceptance-authorisation"/>
    <w:p>
      <w:pPr>
        <w:pStyle w:val="Heading2"/>
      </w:pPr>
      <w:r>
        <w:t xml:space="preserve">5.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financial obligations outlined herein. The engagement shall commence upon receipt of the advance payment and execution of the master service agreement by</w:t>
      </w:r>
      <w:r>
        <w:t xml:space="preserve"> </w:t>
      </w:r>
      <w:r>
        <w:t xml:space="preserve">Banker</w:t>
      </w:r>
      <w:r>
        <w:t xml:space="preserve"> </w:t>
      </w:r>
      <w:r>
        <w:t xml:space="preserve">Advisory Group,</w:t>
      </w:r>
      <w:r>
        <w:t xml:space="preserve"> </w:t>
      </w:r>
      <w:r>
        <w:t xml:space="preserve">New Delhi, India</w:t>
      </w:r>
      <w:r>
        <w:t xml:space="preserve">.</w:t>
      </w:r>
    </w:p>
    <w:p>
      <w:pPr>
        <w:pStyle w:val="BodyText"/>
      </w:pPr>
      <w:r>
        <w:rPr>
          <w:bCs/>
          <w:b/>
        </w:rPr>
        <w:t xml:space="preserve">For Banker Advisory Group</w:t>
      </w:r>
      <w:r>
        <w:br/>
      </w:r>
      <w:r>
        <w:t xml:space="preserve">Authorised Signatory</w:t>
      </w:r>
      <w:r>
        <w:br/>
      </w:r>
      <w:r>
        <w:t xml:space="preserve">New Delhi, India</w:t>
      </w:r>
      <w:r>
        <w:br/>
      </w:r>
      <w:r>
        <w:t xml:space="preserve">Date: _______________</w:t>
      </w:r>
    </w:p>
    <w:p>
      <w:pPr>
        <w:pStyle w:val="BodyText"/>
      </w:pPr>
      <w:r>
        <w:rPr>
          <w:bCs/>
          <w:b/>
        </w:rPr>
        <w:t xml:space="preserve">For the Client</w:t>
      </w:r>
      <w:r>
        <w:br/>
      </w:r>
      <w:r>
        <w:t xml:space="preserve">Shri Arjun Mehta</w:t>
      </w:r>
      <w:r>
        <w:br/>
      </w:r>
      <w:r>
        <w:t xml:space="preserve">Mehta Trading &amp; Logistics Pvt. Ltd.</w:t>
      </w:r>
      <w:r>
        <w:br/>
      </w:r>
      <w:r>
        <w:t xml:space="preserve">New Delhi, India</w:t>
      </w:r>
      <w:r>
        <w:br/>
      </w:r>
      <w:r>
        <w:t xml:space="preserve">Date: _______________</w:t>
      </w:r>
    </w:p>
    <w:p>
      <w:pPr>
        <w:pStyle w:val="BodyText"/>
      </w:pPr>
      <w:r>
        <w:t xml:space="preserve">This Quotation Estimate document is generated by Banker Advisory Group, a registered consultancy firm in New Delhi, India. Document Ref: BNK/ND/2025/0472. For queries, contact: banker.nd@bankeradvisory.in | +91-11-4055-XXXX. This document is valid only for the client named above and is non-transferable.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India New Delhi</dc:title>
  <dc:creator/>
  <dc:language>en</dc:language>
  <cp:keywords/>
  <dcterms:created xsi:type="dcterms:W3CDTF">2026-10-10T14:24:43Z</dcterms:created>
  <dcterms:modified xsi:type="dcterms:W3CDTF">2026-10-10T14:24:43Z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