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Banker Services &amp; Financial Advisory</w:t>
      </w:r>
    </w:p>
    <w:p>
      <w:pPr>
        <w:pStyle w:val="BodyText"/>
      </w:pPr>
      <w:r>
        <w:t xml:space="preserve">Prepared for use in Iran, Tehran — Islamic Republic of Iran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QTE-IRN-TEH-2025-0472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Mr. Amir Hosseini, Senior Banker &amp; Financial Consultant</w:t>
            </w:r>
          </w:p>
        </w:tc>
      </w:tr>
      <w:tr>
        <w:tc>
          <w:tcPr/>
          <w:p>
            <w:pPr>
              <w:pStyle w:val="Compact"/>
              <w:jc w:val="left"/>
            </w:pPr>
            <w:r>
              <w:t xml:space="preserve">Prepared For</w:t>
            </w:r>
          </w:p>
        </w:tc>
        <w:tc>
          <w:tcPr/>
          <w:p>
            <w:pPr>
              <w:pStyle w:val="Compact"/>
              <w:jc w:val="left"/>
            </w:pPr>
            <w:r>
              <w:t xml:space="preserve">Client Name: _________________________ (To be completed in Tehran, Iran)</w:t>
            </w:r>
          </w:p>
        </w:tc>
      </w:tr>
      <w:tr>
        <w:tc>
          <w:tcPr/>
          <w:p>
            <w:pPr>
              <w:pStyle w:val="Compact"/>
              <w:jc w:val="left"/>
            </w:pPr>
            <w:r>
              <w:t xml:space="preserve">Service Location</w:t>
            </w:r>
          </w:p>
        </w:tc>
        <w:tc>
          <w:tcPr/>
          <w:p>
            <w:pPr>
              <w:pStyle w:val="Compact"/>
              <w:jc w:val="left"/>
            </w:pPr>
            <w:r>
              <w:t xml:space="preserve">Tehran, Iran — All operations conducted within the jurisdiction of the Islamic Republic of Iran</w:t>
            </w:r>
          </w:p>
        </w:tc>
      </w:tr>
      <w:tr>
        <w:tc>
          <w:tcPr/>
          <w:p>
            <w:pPr>
              <w:pStyle w:val="Compact"/>
              <w:jc w:val="left"/>
            </w:pPr>
            <w:r>
              <w:t xml:space="preserve">Currency of Estimate</w:t>
            </w:r>
          </w:p>
        </w:tc>
        <w:tc>
          <w:tcPr/>
          <w:p>
            <w:pPr>
              <w:pStyle w:val="Compact"/>
              <w:jc w:val="left"/>
            </w:pPr>
            <w:r>
              <w:t xml:space="preserve">Iranian Rial (IRR) / US Dollar (USD) equivalent</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document is formally issued to provide a comprehensive and itemized financial projection for the engagement of a professional Banker operating within the city of Tehran, Iran. The Banker referenced herein shall deliver a full suite of banking, financial advisory, and transactional services tailored to the regulatory and commercial environment of Iran Tehran. This estimate is intended to serve as a binding financial reference for the client prior to the execution of a formal service agreement.</w:t>
      </w:r>
    </w:p>
    <w:p>
      <w:pPr>
        <w:pStyle w:val="BodyText"/>
      </w:pPr>
      <w:r>
        <w:t xml:space="preserve">All services described in this Quotation Estimate are to be rendered in strict compliance with the banking regulations established by the Central Bank of the Islamic Republic of Iran (CBI) and all applicable financial laws governing commercial banking activities in Tehran. The Banker shall maintain full professional licensure and registration with the relevant Iranian financial authorities throughout the duration of the engagement.</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Cost (IRR)</w:t>
            </w:r>
          </w:p>
        </w:tc>
        <w:tc>
          <w:tcPr/>
          <w:p>
            <w:pPr>
              <w:pStyle w:val="Compact"/>
              <w:jc w:val="left"/>
            </w:pPr>
            <w:r>
              <w:t xml:space="preserve">Estimated Cost (USD)</w:t>
            </w:r>
          </w:p>
        </w:tc>
      </w:tr>
      <w:tr>
        <w:tc>
          <w:tcPr/>
          <w:p>
            <w:pPr>
              <w:pStyle w:val="Compact"/>
              <w:jc w:val="left"/>
            </w:pPr>
            <w:r>
              <w:t xml:space="preserve">01</w:t>
            </w:r>
          </w:p>
        </w:tc>
        <w:tc>
          <w:tcPr/>
          <w:p>
            <w:pPr>
              <w:pStyle w:val="Compact"/>
              <w:jc w:val="left"/>
            </w:pPr>
            <w:r>
              <w:t xml:space="preserve">Comprehensive Banking Account Setup &amp; Management for corporate entities registered in Tehran, Iran</w:t>
            </w:r>
          </w:p>
        </w:tc>
        <w:tc>
          <w:tcPr/>
          <w:p>
            <w:pPr>
              <w:pStyle w:val="Compact"/>
              <w:jc w:val="left"/>
            </w:pPr>
            <w:r>
              <w:t xml:space="preserve">One-time setup + 12 months</w:t>
            </w:r>
          </w:p>
        </w:tc>
        <w:tc>
          <w:tcPr/>
          <w:p>
            <w:pPr>
              <w:pStyle w:val="Compact"/>
              <w:jc w:val="left"/>
            </w:pPr>
            <w:r>
              <w:t xml:space="preserve">85,000,000 IRR</w:t>
            </w:r>
          </w:p>
        </w:tc>
        <w:tc>
          <w:tcPr/>
          <w:p>
            <w:pPr>
              <w:pStyle w:val="Compact"/>
              <w:jc w:val="left"/>
            </w:pPr>
            <w:r>
              <w:t xml:space="preserve">$2,125.00</w:t>
            </w:r>
          </w:p>
        </w:tc>
      </w:tr>
      <w:tr>
        <w:tc>
          <w:tcPr/>
          <w:p>
            <w:pPr>
              <w:pStyle w:val="Compact"/>
              <w:jc w:val="left"/>
            </w:pPr>
            <w:r>
              <w:t xml:space="preserve">02</w:t>
            </w:r>
          </w:p>
        </w:tc>
        <w:tc>
          <w:tcPr/>
          <w:p>
            <w:pPr>
              <w:pStyle w:val="Compact"/>
              <w:jc w:val="left"/>
            </w:pPr>
            <w:r>
              <w:t xml:space="preserve">Daily Transaction Processing &amp; Reconciliation Services (domestic transfers within Tehran and inter-provincial)</w:t>
            </w:r>
          </w:p>
        </w:tc>
        <w:tc>
          <w:tcPr/>
          <w:p>
            <w:pPr>
              <w:pStyle w:val="Compact"/>
              <w:jc w:val="left"/>
            </w:pPr>
            <w:r>
              <w:t xml:space="preserve">Monthly (12 months)</w:t>
            </w:r>
          </w:p>
        </w:tc>
        <w:tc>
          <w:tcPr/>
          <w:p>
            <w:pPr>
              <w:pStyle w:val="Compact"/>
              <w:jc w:val="left"/>
            </w:pPr>
            <w:r>
              <w:t xml:space="preserve">42,000,000 IRR / month</w:t>
            </w:r>
          </w:p>
        </w:tc>
        <w:tc>
          <w:tcPr/>
          <w:p>
            <w:pPr>
              <w:pStyle w:val="Compact"/>
              <w:jc w:val="left"/>
            </w:pPr>
            <w:r>
              <w:t xml:space="preserve">$1,050.00 / month</w:t>
            </w:r>
          </w:p>
        </w:tc>
      </w:tr>
      <w:tr>
        <w:tc>
          <w:tcPr/>
          <w:p>
            <w:pPr>
              <w:pStyle w:val="Compact"/>
              <w:jc w:val="left"/>
            </w:pPr>
            <w:r>
              <w:t xml:space="preserve">03</w:t>
            </w:r>
          </w:p>
        </w:tc>
        <w:tc>
          <w:tcPr/>
          <w:p>
            <w:pPr>
              <w:pStyle w:val="Compact"/>
              <w:jc w:val="left"/>
            </w:pPr>
            <w:r>
              <w:t xml:space="preserve">Foreign Exchange Advisory &amp; Currency Conversion Consultation compliant with CBI regulations in Iran Tehran</w:t>
            </w:r>
          </w:p>
        </w:tc>
        <w:tc>
          <w:tcPr/>
          <w:p>
            <w:pPr>
              <w:pStyle w:val="Compact"/>
              <w:jc w:val="left"/>
            </w:pPr>
            <w:r>
              <w:t xml:space="preserve">Quarterly (4 sessions)</w:t>
            </w:r>
          </w:p>
        </w:tc>
        <w:tc>
          <w:tcPr/>
          <w:p>
            <w:pPr>
              <w:pStyle w:val="Compact"/>
              <w:jc w:val="left"/>
            </w:pPr>
            <w:r>
              <w:t xml:space="preserve">18,000,000 IRR / session</w:t>
            </w:r>
          </w:p>
        </w:tc>
        <w:tc>
          <w:tcPr/>
          <w:p>
            <w:pPr>
              <w:pStyle w:val="Compact"/>
              <w:jc w:val="left"/>
            </w:pPr>
            <w:r>
              <w:t xml:space="preserve">$450.00 / session</w:t>
            </w:r>
          </w:p>
        </w:tc>
      </w:tr>
      <w:tr>
        <w:tc>
          <w:tcPr/>
          <w:p>
            <w:pPr>
              <w:pStyle w:val="Compact"/>
              <w:jc w:val="left"/>
            </w:pPr>
            <w:r>
              <w:t xml:space="preserve">04</w:t>
            </w:r>
          </w:p>
        </w:tc>
        <w:tc>
          <w:tcPr/>
          <w:p>
            <w:pPr>
              <w:pStyle w:val="Compact"/>
              <w:jc w:val="left"/>
            </w:pPr>
            <w:r>
              <w:t xml:space="preserve">Trade Finance &amp; Letter of Credit Facilitation for import/export operations based in Tehran</w:t>
            </w:r>
          </w:p>
        </w:tc>
        <w:tc>
          <w:tcPr/>
          <w:p>
            <w:pPr>
              <w:pStyle w:val="Compact"/>
              <w:jc w:val="left"/>
            </w:pPr>
            <w:r>
              <w:t xml:space="preserve">Per transaction (est. 6 transactions)</w:t>
            </w:r>
          </w:p>
        </w:tc>
        <w:tc>
          <w:tcPr/>
          <w:p>
            <w:pPr>
              <w:pStyle w:val="Compact"/>
              <w:jc w:val="left"/>
            </w:pPr>
            <w:r>
              <w:t xml:space="preserve">35,000,000 IRR / transaction</w:t>
            </w:r>
          </w:p>
        </w:tc>
        <w:tc>
          <w:tcPr/>
          <w:p>
            <w:pPr>
              <w:pStyle w:val="Compact"/>
              <w:jc w:val="left"/>
            </w:pPr>
            <w:r>
              <w:t xml:space="preserve">$875.00 / transaction</w:t>
            </w:r>
          </w:p>
        </w:tc>
      </w:tr>
      <w:tr>
        <w:tc>
          <w:tcPr/>
          <w:p>
            <w:pPr>
              <w:pStyle w:val="Compact"/>
              <w:jc w:val="left"/>
            </w:pPr>
            <w:r>
              <w:t xml:space="preserve">05</w:t>
            </w:r>
          </w:p>
        </w:tc>
        <w:tc>
          <w:tcPr/>
          <w:p>
            <w:pPr>
              <w:pStyle w:val="Compact"/>
              <w:jc w:val="left"/>
            </w:pPr>
            <w:r>
              <w:t xml:space="preserve">Islamic Banking Compliance Review &amp; Sharia-Adherent Financial Structuring</w:t>
            </w:r>
          </w:p>
        </w:tc>
        <w:tc>
          <w:tcPr/>
          <w:p>
            <w:pPr>
              <w:pStyle w:val="Compact"/>
              <w:jc w:val="left"/>
            </w:pPr>
            <w:r>
              <w:t xml:space="preserve">Bi-annual (2 reviews)</w:t>
            </w:r>
          </w:p>
        </w:tc>
        <w:tc>
          <w:tcPr/>
          <w:p>
            <w:pPr>
              <w:pStyle w:val="Compact"/>
              <w:jc w:val="left"/>
            </w:pPr>
            <w:r>
              <w:t xml:space="preserve">25,000,000 IRR / review</w:t>
            </w:r>
          </w:p>
        </w:tc>
        <w:tc>
          <w:tcPr/>
          <w:p>
            <w:pPr>
              <w:pStyle w:val="Compact"/>
              <w:jc w:val="left"/>
            </w:pPr>
            <w:r>
              <w:t xml:space="preserve">$625.00 / review</w:t>
            </w:r>
          </w:p>
        </w:tc>
      </w:tr>
      <w:tr>
        <w:tc>
          <w:tcPr/>
          <w:p>
            <w:pPr>
              <w:pStyle w:val="Compact"/>
              <w:jc w:val="left"/>
            </w:pPr>
            <w:r>
              <w:t xml:space="preserve">06</w:t>
            </w:r>
          </w:p>
        </w:tc>
        <w:tc>
          <w:tcPr/>
          <w:p>
            <w:pPr>
              <w:pStyle w:val="Compact"/>
              <w:jc w:val="left"/>
            </w:pPr>
            <w:r>
              <w:t xml:space="preserve">On-site Banking Operations Support at client premises in Tehran, Iran (dedicated Banker presence)</w:t>
            </w:r>
          </w:p>
        </w:tc>
        <w:tc>
          <w:tcPr/>
          <w:p>
            <w:pPr>
              <w:pStyle w:val="Compact"/>
              <w:jc w:val="left"/>
            </w:pPr>
            <w:r>
              <w:t xml:space="preserve">Monthly (12 months, 3 days/month)</w:t>
            </w:r>
          </w:p>
        </w:tc>
        <w:tc>
          <w:tcPr/>
          <w:p>
            <w:pPr>
              <w:pStyle w:val="Compact"/>
              <w:jc w:val="left"/>
            </w:pPr>
            <w:r>
              <w:t xml:space="preserve">55,000,000 IRR / month</w:t>
            </w:r>
          </w:p>
        </w:tc>
        <w:tc>
          <w:tcPr/>
          <w:p>
            <w:pPr>
              <w:pStyle w:val="Compact"/>
              <w:jc w:val="left"/>
            </w:pPr>
            <w:r>
              <w:t xml:space="preserve">$1,375.00 / month</w:t>
            </w:r>
          </w:p>
        </w:tc>
      </w:tr>
      <w:tr>
        <w:tc>
          <w:tcPr/>
          <w:p>
            <w:pPr>
              <w:pStyle w:val="Compact"/>
              <w:jc w:val="left"/>
            </w:pPr>
            <w:r>
              <w:t xml:space="preserve">07</w:t>
            </w:r>
          </w:p>
        </w:tc>
        <w:tc>
          <w:tcPr/>
          <w:p>
            <w:pPr>
              <w:pStyle w:val="Compact"/>
              <w:jc w:val="left"/>
            </w:pPr>
            <w:r>
              <w:t xml:space="preserve">Annual Financial Reporting &amp; Regulatory Filing Assistance with Iranian banking authorities</w:t>
            </w:r>
          </w:p>
        </w:tc>
        <w:tc>
          <w:tcPr/>
          <w:p>
            <w:pPr>
              <w:pStyle w:val="Compact"/>
              <w:jc w:val="left"/>
            </w:pPr>
            <w:r>
              <w:t xml:space="preserve">Annual (1 report)</w:t>
            </w:r>
          </w:p>
        </w:tc>
        <w:tc>
          <w:tcPr/>
          <w:p>
            <w:pPr>
              <w:pStyle w:val="Compact"/>
              <w:jc w:val="left"/>
            </w:pPr>
            <w:r>
              <w:t xml:space="preserve">30,000,000 IRR</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Emergency Banking Advisory &amp; Crisis Response (24/7 availability for Tehran-based operations)</w:t>
            </w:r>
          </w:p>
        </w:tc>
        <w:tc>
          <w:tcPr/>
          <w:p>
            <w:pPr>
              <w:pStyle w:val="Compact"/>
              <w:jc w:val="left"/>
            </w:pPr>
            <w:r>
              <w:t xml:space="preserve">Annual retainer</w:t>
            </w:r>
          </w:p>
        </w:tc>
        <w:tc>
          <w:tcPr/>
          <w:p>
            <w:pPr>
              <w:pStyle w:val="Compact"/>
              <w:jc w:val="left"/>
            </w:pPr>
            <w:r>
              <w:t xml:space="preserve">12,000,000 IRR</w:t>
            </w:r>
          </w:p>
        </w:tc>
        <w:tc>
          <w:tcPr/>
          <w:p>
            <w:pPr>
              <w:pStyle w:val="Compact"/>
              <w:jc w:val="left"/>
            </w:pPr>
            <w:r>
              <w:t xml:space="preserve">$300.00</w:t>
            </w:r>
          </w:p>
        </w:tc>
      </w:tr>
      <w:tr>
        <w:tc>
          <w:tcPr>
            <w:gridSpan w:val="3"/>
          </w:tcPr>
          <w:p>
            <w:pPr>
              <w:pStyle w:val="Compact"/>
              <w:jc w:val="left"/>
            </w:pPr>
            <w:r>
              <w:t xml:space="preserve">TOTAL ESTIMATED ANNUAL COST</w:t>
            </w:r>
          </w:p>
        </w:tc>
        <w:tc>
          <w:tcPr/>
          <w:p>
            <w:pPr>
              <w:pStyle w:val="Compact"/>
              <w:jc w:val="left"/>
            </w:pPr>
            <w:r>
              <w:t xml:space="preserve">1,128,000,000 IRR</w:t>
            </w:r>
          </w:p>
        </w:tc>
        <w:tc>
          <w:tcPr/>
          <w:p>
            <w:pPr>
              <w:pStyle w:val="Compact"/>
              <w:jc w:val="left"/>
            </w:pPr>
            <w:r>
              <w:t xml:space="preserve">$28,200.00</w:t>
            </w:r>
          </w:p>
        </w:tc>
      </w:tr>
    </w:tbl>
    <w:p>
      <w:pPr>
        <w:pStyle w:val="BodyText"/>
      </w:pPr>
      <w:r>
        <w:rPr>
          <w:bCs/>
          <w:b/>
        </w:rPr>
        <w:t xml:space="preserve">Note:</w:t>
      </w:r>
      <w:r>
        <w:t xml:space="preserve"> </w:t>
      </w:r>
      <w:r>
        <w:t xml:space="preserve">All monetary values in this Quotation Estimate are subject to the prevailing exchange rate between the Iranian Rial (IRR) and the US Dollar (USD) as published by the Central Bank of Iran on the date of service delivery. The Banker reserves the right to adjust IRR-denominated fees in the event of significant currency fluctuation exceeding 15% during the contract period.</w:t>
      </w:r>
    </w:p>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Beyond this period, the Banker reserves the right to revise all pricing and service terms without prior notice.</w:t>
      </w:r>
    </w:p>
    <w:p>
      <w:pPr>
        <w:pStyle w:val="BodyText"/>
      </w:pPr>
      <w:r>
        <w:rPr>
          <w:bCs/>
          <w:b/>
        </w:rPr>
        <w:t xml:space="preserve">3.2</w:t>
      </w:r>
      <w:r>
        <w:t xml:space="preserve"> </w:t>
      </w:r>
      <w:r>
        <w:t xml:space="preserve">All services shall be performed by a licensed and registered Banker operating legally within the city of Tehran, Islamic Republic of Iran. The Banker shall hold a valid professional banking license issued by the Central Bank of Iran and shall maintain professional liability insurance throughout the engagement.</w:t>
      </w:r>
    </w:p>
    <w:p>
      <w:pPr>
        <w:pStyle w:val="BodyText"/>
      </w:pPr>
      <w:r>
        <w:rPr>
          <w:bCs/>
          <w:b/>
        </w:rPr>
        <w:t xml:space="preserve">3.3</w:t>
      </w:r>
      <w:r>
        <w:t xml:space="preserve"> </w:t>
      </w:r>
      <w:r>
        <w:t xml:space="preserve">Payment terms: 40% advance payment upon acceptance of this Quotation Estimate, 40% upon completion of the first six (6) months of service, and 20% upon successful completion of the full twelve-month engagement period. All payments shall be made via bank transfer to an account held at a licensed Iranian financial institution in Tehran.</w:t>
      </w:r>
    </w:p>
    <w:p>
      <w:pPr>
        <w:pStyle w:val="BodyText"/>
      </w:pPr>
      <w:r>
        <w:rPr>
          <w:bCs/>
          <w:b/>
        </w:rPr>
        <w:t xml:space="preserve">3.4</w:t>
      </w:r>
      <w:r>
        <w:t xml:space="preserve"> </w:t>
      </w:r>
      <w:r>
        <w:t xml:space="preserve">The Banker shall comply with all anti-money laundering (AML) regulations, sanctions compliance requirements, and financial reporting obligations as mandated by the Iranian government and the Central Bank of Iran. The client in Tehran, Iran shall provide all necessary documentation for identity verification and transaction reporting.</w:t>
      </w:r>
    </w:p>
    <w:p>
      <w:pPr>
        <w:pStyle w:val="BodyText"/>
      </w:pPr>
      <w:r>
        <w:rPr>
          <w:bCs/>
          <w:b/>
        </w:rPr>
        <w:t xml:space="preserve">3.5</w:t>
      </w:r>
      <w:r>
        <w:t xml:space="preserve"> </w:t>
      </w:r>
      <w:r>
        <w:t xml:space="preserve">This Quotation Estimate does not constitute a binding contract until a formal Service Agreement is executed by both parties. Acceptance of this estimate shall be indicated by written signature and stamp by the client representative in Tehran.</w:t>
      </w:r>
    </w:p>
    <w:p>
      <w:pPr>
        <w:pStyle w:val="BodyText"/>
      </w:pPr>
      <w:r>
        <w:rPr>
          <w:bCs/>
          <w:b/>
        </w:rPr>
        <w:t xml:space="preserve">3.6</w:t>
      </w:r>
      <w:r>
        <w:t xml:space="preserve"> </w:t>
      </w:r>
      <w:r>
        <w:t xml:space="preserve">Any disputes arising from the services described in this Quotation Estimate shall be resolved through the competent commercial courts of Tehran, Iran, in accordance with the civil and commercial laws of the Islamic Republic of Iran.</w:t>
      </w:r>
    </w:p>
    <w:p>
      <w:pPr>
        <w:pStyle w:val="BodyText"/>
      </w:pPr>
      <w:r>
        <w:rPr>
          <w:bCs/>
          <w:b/>
        </w:rPr>
        <w:t xml:space="preserve">3.7</w:t>
      </w:r>
      <w:r>
        <w:t xml:space="preserve"> </w:t>
      </w:r>
      <w:r>
        <w:t xml:space="preserve">The Banker shall maintain strict confidentiality regarding all financial data, transaction records, and client information in accordance with Iranian banking secrecy laws. No information shall be disclosed to third parties without written consent from the client.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Banker services in Iran Tehran and agrees to the terms, conditions, and pricing outlined herein. The Banker confirms availability to commence services within ten (10) business days of written acceptance.</w:t>
      </w:r>
    </w:p>
    <w:p>
      <w:pPr>
        <w:pStyle w:val="BodyText"/>
      </w:pPr>
      <w:r>
        <w:rPr>
          <w:bCs/>
          <w:b/>
        </w:rPr>
        <w:t xml:space="preserve">For the Banker (Service Provider)</w:t>
      </w:r>
      <w:r>
        <w:br/>
      </w:r>
      <w:r>
        <w:t xml:space="preserve">Name: Amir Hosseini</w:t>
      </w:r>
      <w:r>
        <w:br/>
      </w:r>
      <w:r>
        <w:t xml:space="preserve">Title: Senior Banker &amp; Financial Consultant</w:t>
      </w:r>
      <w:r>
        <w:br/>
      </w:r>
      <w:r>
        <w:t xml:space="preserve">License No.: CBI-IRN-2024-88341</w:t>
      </w:r>
      <w:r>
        <w:br/>
      </w:r>
      <w:r>
        <w:t xml:space="preserve">Date: _______________</w:t>
      </w:r>
    </w:p>
    <w:p>
      <w:pPr>
        <w:pStyle w:val="BodyText"/>
      </w:pPr>
      <w:r>
        <w:rPr>
          <w:bCs/>
          <w:b/>
        </w:rPr>
        <w:t xml:space="preserve">For the Client (Recipient)</w:t>
      </w:r>
      <w:r>
        <w:br/>
      </w:r>
      <w:r>
        <w:t xml:space="preserve">Name: _________________________</w:t>
      </w:r>
      <w:r>
        <w:br/>
      </w:r>
      <w:r>
        <w:t xml:space="preserve">Title: _________________________</w:t>
      </w:r>
      <w:r>
        <w:br/>
      </w:r>
      <w:r>
        <w:t xml:space="preserve">Organization: _________________________</w:t>
      </w:r>
      <w:r>
        <w:br/>
      </w:r>
      <w:r>
        <w:t xml:space="preserve">Date: _______________</w:t>
      </w:r>
    </w:p>
    <w:p>
      <w:pPr>
        <w:pStyle w:val="BodyText"/>
      </w:pPr>
      <w:r>
        <w:t xml:space="preserve">Quotation Estimate No. QTE-IRN-TEH-2025-0472 | Banker Services | Iran, Tehran | Page 1 of 1</w:t>
      </w:r>
    </w:p>
    <w:p>
      <w:pPr>
        <w:pStyle w:val="BodyText"/>
      </w:pPr>
      <w:r>
        <w:t xml:space="preserve">This document is prepared exclusively for the named client and shall not be reproduced, distributed, or used for any other purpose without the written consent of the issuing Banker. All services are governed by the financial regulations of the Islamic Republic of Iran.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Iran Tehran</dc:title>
  <dc:creator/>
  <dc:language>en</dc:language>
  <cp:keywords/>
  <dcterms:created xsi:type="dcterms:W3CDTF">2026-10-10T08:27:42Z</dcterms:created>
  <dcterms:modified xsi:type="dcterms:W3CDTF">2026-10-10T08:27:42Z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