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Banker Services — Israel Jerusalem</w:t>
      </w:r>
    </w:p>
    <w:p>
      <w:pPr>
        <w:pStyle w:val="BodyText"/>
      </w:pPr>
      <w:r>
        <w:t xml:space="preserve">Levant Financial Advisory Group Ltd. | 12 King George Street, Jerusalem 97100, Israel</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QTE-JER-2025-04871</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Israeli New Shekel (ILS / NIS)</w:t>
            </w:r>
          </w:p>
        </w:tc>
      </w:tr>
      <w:tr>
        <w:tc>
          <w:tcPr/>
          <w:p>
            <w:pPr>
              <w:pStyle w:val="Compact"/>
              <w:jc w:val="left"/>
            </w:pPr>
            <w:r>
              <w:t xml:space="preserve">Prepared For</w:t>
            </w:r>
          </w:p>
        </w:tc>
        <w:tc>
          <w:tcPr/>
          <w:p>
            <w:pPr>
              <w:pStyle w:val="Compact"/>
              <w:jc w:val="left"/>
            </w:pPr>
            <w:r>
              <w:t xml:space="preserve">Client Name: _________________________</w:t>
            </w:r>
          </w:p>
        </w:tc>
        <w:tc>
          <w:tcPr/>
          <w:p>
            <w:pPr>
              <w:pStyle w:val="Compact"/>
              <w:jc w:val="left"/>
            </w:pPr>
            <w:r>
              <w:t xml:space="preserve">Client Address</w:t>
            </w:r>
          </w:p>
        </w:tc>
        <w:tc>
          <w:tcPr/>
          <w:p>
            <w:pPr>
              <w:pStyle w:val="Compact"/>
              <w:jc w:val="left"/>
            </w:pPr>
            <w:r>
              <w:t xml:space="preserve">Jerusalem, Israel</w:t>
            </w:r>
          </w:p>
        </w:tc>
      </w:tr>
      <w:tr>
        <w:tc>
          <w:tcPr/>
          <w:p>
            <w:pPr>
              <w:pStyle w:val="Compact"/>
              <w:jc w:val="left"/>
            </w:pPr>
            <w:r>
              <w:t xml:space="preserve">Prepared By</w:t>
            </w:r>
          </w:p>
        </w:tc>
        <w:tc>
          <w:tcPr/>
          <w:p>
            <w:pPr>
              <w:pStyle w:val="Compact"/>
              <w:jc w:val="left"/>
            </w:pPr>
            <w:r>
              <w:t xml:space="preserve">Mr. David Ben-Ari, Senior Banker &amp; Financial Consultant</w:t>
            </w:r>
          </w:p>
        </w:tc>
        <w:tc>
          <w:tcPr/>
          <w:p>
            <w:pPr>
              <w:pStyle w:val="Compact"/>
              <w:jc w:val="left"/>
            </w:pPr>
            <w:r>
              <w:t xml:space="preserve">Contact</w:t>
            </w:r>
          </w:p>
        </w:tc>
        <w:tc>
          <w:tcPr/>
          <w:p>
            <w:pPr>
              <w:pStyle w:val="Compact"/>
              <w:jc w:val="left"/>
            </w:pPr>
            <w:r>
              <w:t xml:space="preserve">dbenari@levantfin.co.il | +972-2-625-4410</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Levant Financial Advisory Group Ltd. to provide a comprehensive, itemized cost breakdown for the engagement of a</w:t>
      </w:r>
      <w:r>
        <w:t xml:space="preserve"> </w:t>
      </w:r>
      <w:r>
        <w:t xml:space="preserve">Banker</w:t>
      </w:r>
      <w:r>
        <w:t xml:space="preserve"> </w:t>
      </w:r>
      <w:r>
        <w:t xml:space="preserve">professional to deliver specialized financial advisory, treasury management, and banking operations services to the named client within the city of</w:t>
      </w:r>
      <w:r>
        <w:t xml:space="preserve"> </w:t>
      </w:r>
      <w:r>
        <w:t xml:space="preserve">Israel Jerusalem</w:t>
      </w:r>
      <w:r>
        <w:t xml:space="preserve">. This document serves as a formal, non-binding estimate of fees, expenses, and associated costs for the scope of work described herein. All figures are presented in Israeli New Shekels (ILS) and are subject to the terms and conditions outlined in Section 7 of this Quotation Estimate.</w:t>
      </w:r>
    </w:p>
    <w:bookmarkEnd w:id="21"/>
    <w:bookmarkStart w:id="22" w:name="X9dbd94148a2975ee33b55082a8e505d2180483a"/>
    <w:p>
      <w:pPr>
        <w:pStyle w:val="Heading2"/>
      </w:pPr>
      <w:r>
        <w:t xml:space="preserve">2. Scope of Banker Services in Israel Jerusalem</w:t>
      </w:r>
    </w:p>
    <w:p>
      <w:pPr>
        <w:pStyle w:val="FirstParagraph"/>
      </w:pPr>
      <w:r>
        <w:t xml:space="preserve">The</w:t>
      </w:r>
      <w:r>
        <w:t xml:space="preserve"> </w:t>
      </w:r>
      <w:r>
        <w:t xml:space="preserve">Banker</w:t>
      </w:r>
      <w:r>
        <w:t xml:space="preserve"> </w:t>
      </w:r>
      <w:r>
        <w:t xml:space="preserve">engaged under this Quotation Estimate shall operate primarily from the firm's offices in central Jerusalem, Israel, and shall provide the following services to the client:</w:t>
      </w:r>
    </w:p>
    <w:p>
      <w:pPr>
        <w:numPr>
          <w:ilvl w:val="0"/>
          <w:numId w:val="1001"/>
        </w:numPr>
        <w:pStyle w:val="Compact"/>
      </w:pPr>
      <w:r>
        <w:t xml:space="preserve">Full-spectrum corporate banking advisory, including account structuring, multi-currency treasury management, and interbank relationship coordination with major Israeli financial institutions (Bank Leumi, Bank Hapoalim, Mizrahi Tefahot, and Discount Bank).</w:t>
      </w:r>
    </w:p>
    <w:p>
      <w:pPr>
        <w:numPr>
          <w:ilvl w:val="0"/>
          <w:numId w:val="1001"/>
        </w:numPr>
        <w:pStyle w:val="Compact"/>
      </w:pPr>
      <w:r>
        <w:t xml:space="preserve">Regulatory compliance consulting in accordance with the Bank of Israel (Bank Le'ummi Yisrael) regulations, the Capital Markets Authority guidelines, and applicable Israeli tax law as administered by the Israel Tax Authority in Jerusalem.</w:t>
      </w:r>
    </w:p>
    <w:p>
      <w:pPr>
        <w:numPr>
          <w:ilvl w:val="0"/>
          <w:numId w:val="1001"/>
        </w:numPr>
        <w:pStyle w:val="Compact"/>
      </w:pPr>
      <w:r>
        <w:t xml:space="preserve">On-site financial planning sessions conducted at the client's premises in Jerusalem, Israel, no fewer than four (4) times per calendar month.</w:t>
      </w:r>
    </w:p>
    <w:p>
      <w:pPr>
        <w:numPr>
          <w:ilvl w:val="0"/>
          <w:numId w:val="1001"/>
        </w:numPr>
        <w:pStyle w:val="Compact"/>
      </w:pPr>
      <w:r>
        <w:t xml:space="preserve">Preparation and review of quarterly financial statements, cash-flow projections, and capital allocation strategies tailored to the client's operational footprint in the Jerusalem metropolitan area.</w:t>
      </w:r>
    </w:p>
    <w:p>
      <w:pPr>
        <w:numPr>
          <w:ilvl w:val="0"/>
          <w:numId w:val="1001"/>
        </w:numPr>
        <w:pStyle w:val="Compact"/>
      </w:pPr>
      <w:r>
        <w:t xml:space="preserve">Facilitation of trade finance instruments, letters of credit, and documentary collections through the Banker's established network of correspondent banks serving the Israel Jerusalem corridor.</w:t>
      </w:r>
    </w:p>
    <w:p>
      <w:pPr>
        <w:numPr>
          <w:ilvl w:val="0"/>
          <w:numId w:val="1001"/>
        </w:numPr>
        <w:pStyle w:val="Compact"/>
      </w:pPr>
      <w:r>
        <w:t xml:space="preserve">Advisory support for real estate financing, municipal bond participation, and government procurement banking specific to Jerusalem, Israel.</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Banker Service</w:t>
            </w:r>
          </w:p>
        </w:tc>
        <w:tc>
          <w:tcPr/>
          <w:p>
            <w:pPr>
              <w:pStyle w:val="Compact"/>
              <w:jc w:val="left"/>
            </w:pPr>
            <w:r>
              <w:t xml:space="preserve">Frequency</w:t>
            </w:r>
          </w:p>
        </w:tc>
        <w:tc>
          <w:tcPr/>
          <w:p>
            <w:pPr>
              <w:pStyle w:val="Compact"/>
              <w:jc w:val="left"/>
            </w:pPr>
            <w:r>
              <w:t xml:space="preserve">Unit Rate (ILS)</w:t>
            </w:r>
          </w:p>
        </w:tc>
        <w:tc>
          <w:tcPr/>
          <w:p>
            <w:pPr>
              <w:pStyle w:val="Compact"/>
              <w:jc w:val="left"/>
            </w:pPr>
            <w:r>
              <w:t xml:space="preserve">Estimated Total (ILS)</w:t>
            </w:r>
          </w:p>
        </w:tc>
      </w:tr>
      <w:tr>
        <w:tc>
          <w:tcPr/>
          <w:p>
            <w:pPr>
              <w:pStyle w:val="Compact"/>
              <w:jc w:val="left"/>
            </w:pPr>
            <w:r>
              <w:t xml:space="preserve">3.1</w:t>
            </w:r>
          </w:p>
        </w:tc>
        <w:tc>
          <w:tcPr/>
          <w:p>
            <w:pPr>
              <w:pStyle w:val="Compact"/>
              <w:jc w:val="left"/>
            </w:pPr>
            <w:r>
              <w:t xml:space="preserve">Senior Banker hourly consulting &amp; advisory (Jerusalem, Israel office or client site)</w:t>
            </w:r>
          </w:p>
        </w:tc>
        <w:tc>
          <w:tcPr/>
          <w:p>
            <w:pPr>
              <w:pStyle w:val="Compact"/>
              <w:jc w:val="left"/>
            </w:pPr>
            <w:r>
              <w:t xml:space="preserve">120 hrs / quarter</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3.2</w:t>
            </w:r>
          </w:p>
        </w:tc>
        <w:tc>
          <w:tcPr/>
          <w:p>
            <w:pPr>
              <w:pStyle w:val="Compact"/>
              <w:jc w:val="left"/>
            </w:pPr>
            <w:r>
              <w:t xml:space="preserve">Treasury management &amp; multi-currency account structuring (Banker-led)</w:t>
            </w:r>
          </w:p>
        </w:tc>
        <w:tc>
          <w:tcPr/>
          <w:p>
            <w:pPr>
              <w:pStyle w:val="Compact"/>
              <w:jc w:val="left"/>
            </w:pPr>
            <w:r>
              <w:t xml:space="preserve">Quarterly</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3.3</w:t>
            </w:r>
          </w:p>
        </w:tc>
        <w:tc>
          <w:tcPr/>
          <w:p>
            <w:pPr>
              <w:pStyle w:val="Compact"/>
              <w:jc w:val="left"/>
            </w:pPr>
            <w:r>
              <w:t xml:space="preserve">Regulatory compliance review &amp; Bank of Israel liaison (Banker specialist)</w:t>
            </w:r>
          </w:p>
        </w:tc>
        <w:tc>
          <w:tcPr/>
          <w:p>
            <w:pPr>
              <w:pStyle w:val="Compact"/>
              <w:jc w:val="left"/>
            </w:pPr>
            <w:r>
              <w:t xml:space="preserve">Monthly</w:t>
            </w:r>
          </w:p>
        </w:tc>
        <w:tc>
          <w:tcPr/>
          <w:p>
            <w:pPr>
              <w:pStyle w:val="Compact"/>
              <w:jc w:val="left"/>
            </w:pPr>
            <w:r>
              <w:t xml:space="preserve">9,200.00</w:t>
            </w:r>
          </w:p>
        </w:tc>
        <w:tc>
          <w:tcPr/>
          <w:p>
            <w:pPr>
              <w:pStyle w:val="Compact"/>
              <w:jc w:val="left"/>
            </w:pPr>
            <w:r>
              <w:t xml:space="preserve">110,400.00</w:t>
            </w:r>
          </w:p>
        </w:tc>
      </w:tr>
      <w:tr>
        <w:tc>
          <w:tcPr/>
          <w:p>
            <w:pPr>
              <w:pStyle w:val="Compact"/>
              <w:jc w:val="left"/>
            </w:pPr>
            <w:r>
              <w:t xml:space="preserve">3.4</w:t>
            </w:r>
          </w:p>
        </w:tc>
        <w:tc>
          <w:tcPr/>
          <w:p>
            <w:pPr>
              <w:pStyle w:val="Compact"/>
              <w:jc w:val="left"/>
            </w:pPr>
            <w:r>
              <w:t xml:space="preserve">Trade finance &amp; letter of credit facilitation (per transaction, Banker processing)</w:t>
            </w:r>
          </w:p>
        </w:tc>
        <w:tc>
          <w:tcPr/>
          <w:p>
            <w:pPr>
              <w:pStyle w:val="Compact"/>
              <w:jc w:val="left"/>
            </w:pPr>
            <w:r>
              <w:t xml:space="preserve">Est. 12 / quarter</w:t>
            </w:r>
          </w:p>
        </w:tc>
        <w:tc>
          <w:tcPr/>
          <w:p>
            <w:pPr>
              <w:pStyle w:val="Compact"/>
              <w:jc w:val="left"/>
            </w:pPr>
            <w:r>
              <w:t xml:space="preserve">4,750.00</w:t>
            </w:r>
          </w:p>
        </w:tc>
        <w:tc>
          <w:tcPr/>
          <w:p>
            <w:pPr>
              <w:pStyle w:val="Compact"/>
              <w:jc w:val="left"/>
            </w:pPr>
            <w:r>
              <w:t xml:space="preserve">57,000.00</w:t>
            </w:r>
          </w:p>
        </w:tc>
      </w:tr>
      <w:tr>
        <w:tc>
          <w:tcPr/>
          <w:p>
            <w:pPr>
              <w:pStyle w:val="Compact"/>
              <w:jc w:val="left"/>
            </w:pPr>
            <w:r>
              <w:t xml:space="preserve">3.5</w:t>
            </w:r>
          </w:p>
        </w:tc>
        <w:tc>
          <w:tcPr/>
          <w:p>
            <w:pPr>
              <w:pStyle w:val="Compact"/>
              <w:jc w:val="left"/>
            </w:pPr>
            <w:r>
              <w:t xml:space="preserve">On-site financial planning sessions in Jerusalem, Israel (Banker &amp; analyst team)</w:t>
            </w:r>
          </w:p>
        </w:tc>
        <w:tc>
          <w:tcPr/>
          <w:p>
            <w:pPr>
              <w:pStyle w:val="Compact"/>
              <w:jc w:val="left"/>
            </w:pPr>
            <w:r>
              <w:t xml:space="preserve">16 / quarter</w:t>
            </w:r>
          </w:p>
        </w:tc>
        <w:tc>
          <w:tcPr/>
          <w:p>
            <w:pPr>
              <w:pStyle w:val="Compact"/>
              <w:jc w:val="left"/>
            </w:pPr>
            <w:r>
              <w:t xml:space="preserve">3,200.00</w:t>
            </w:r>
          </w:p>
        </w:tc>
        <w:tc>
          <w:tcPr/>
          <w:p>
            <w:pPr>
              <w:pStyle w:val="Compact"/>
              <w:jc w:val="left"/>
            </w:pPr>
            <w:r>
              <w:t xml:space="preserve">51,200.00</w:t>
            </w:r>
          </w:p>
        </w:tc>
      </w:tr>
      <w:tr>
        <w:tc>
          <w:tcPr/>
          <w:p>
            <w:pPr>
              <w:pStyle w:val="Compact"/>
              <w:jc w:val="left"/>
            </w:pPr>
            <w:r>
              <w:t xml:space="preserve">3.6</w:t>
            </w:r>
          </w:p>
        </w:tc>
        <w:tc>
          <w:tcPr/>
          <w:p>
            <w:pPr>
              <w:pStyle w:val="Compact"/>
              <w:jc w:val="left"/>
            </w:pPr>
            <w:r>
              <w:t xml:space="preserve">Quarterly financial statement preparation &amp; capital strategy report</w:t>
            </w:r>
          </w:p>
        </w:tc>
        <w:tc>
          <w:tcPr/>
          <w:p>
            <w:pPr>
              <w:pStyle w:val="Compact"/>
              <w:jc w:val="left"/>
            </w:pPr>
            <w:r>
              <w:t xml:space="preserve">Quarterly</w:t>
            </w:r>
          </w:p>
        </w:tc>
        <w:tc>
          <w:tcPr/>
          <w:p>
            <w:pPr>
              <w:pStyle w:val="Compact"/>
              <w:jc w:val="left"/>
            </w:pPr>
            <w:r>
              <w:t xml:space="preserve">12,800.00</w:t>
            </w:r>
          </w:p>
        </w:tc>
        <w:tc>
          <w:tcPr/>
          <w:p>
            <w:pPr>
              <w:pStyle w:val="Compact"/>
              <w:jc w:val="left"/>
            </w:pPr>
            <w:r>
              <w:t xml:space="preserve">51,200.00</w:t>
            </w:r>
          </w:p>
        </w:tc>
      </w:tr>
      <w:tr>
        <w:tc>
          <w:tcPr/>
          <w:p>
            <w:pPr>
              <w:pStyle w:val="Compact"/>
              <w:jc w:val="left"/>
            </w:pPr>
            <w:r>
              <w:t xml:space="preserve">3.7</w:t>
            </w:r>
          </w:p>
        </w:tc>
        <w:tc>
          <w:tcPr/>
          <w:p>
            <w:pPr>
              <w:pStyle w:val="Compact"/>
              <w:jc w:val="left"/>
            </w:pPr>
            <w:r>
              <w:t xml:space="preserve">Real estate &amp; municipal bond financing advisory (Jerusalem, Israel market)</w:t>
            </w:r>
          </w:p>
        </w:tc>
        <w:tc>
          <w:tcPr/>
          <w:p>
            <w:pPr>
              <w:pStyle w:val="Compact"/>
              <w:jc w:val="left"/>
            </w:pPr>
            <w:r>
              <w:t xml:space="preserve">As required</w:t>
            </w:r>
          </w:p>
        </w:tc>
        <w:tc>
          <w:tcPr/>
          <w:p>
            <w:pPr>
              <w:pStyle w:val="Compact"/>
              <w:jc w:val="left"/>
            </w:pPr>
            <w:r>
              <w:t xml:space="preserve">7,500.00</w:t>
            </w:r>
          </w:p>
        </w:tc>
        <w:tc>
          <w:tcPr/>
          <w:p>
            <w:pPr>
              <w:pStyle w:val="Compact"/>
              <w:jc w:val="left"/>
            </w:pPr>
            <w:r>
              <w:t xml:space="preserve">30,000.00</w:t>
            </w:r>
          </w:p>
        </w:tc>
      </w:tr>
      <w:tr>
        <w:tc>
          <w:tcPr/>
          <w:p>
            <w:pPr>
              <w:pStyle w:val="Compact"/>
              <w:jc w:val="left"/>
            </w:pPr>
            <w:r>
              <w:t xml:space="preserve">3.8</w:t>
            </w:r>
          </w:p>
        </w:tc>
        <w:tc>
          <w:tcPr/>
          <w:p>
            <w:pPr>
              <w:pStyle w:val="Compact"/>
              <w:jc w:val="left"/>
            </w:pPr>
            <w:r>
              <w:t xml:space="preserve">Travel, local transport, and administrative overhead within Jerusalem, Israel</w:t>
            </w:r>
          </w:p>
        </w:tc>
        <w:tc>
          <w:tcPr/>
          <w:p>
            <w:pPr>
              <w:pStyle w:val="Compact"/>
              <w:jc w:val="left"/>
            </w:pPr>
            <w:r>
              <w:t xml:space="preserve">Quarterly</w:t>
            </w:r>
          </w:p>
        </w:tc>
        <w:tc>
          <w:tcPr/>
          <w:p>
            <w:pPr>
              <w:pStyle w:val="Compact"/>
              <w:jc w:val="left"/>
            </w:pPr>
            <w:r>
              <w:t xml:space="preserve">5,600.00</w:t>
            </w:r>
          </w:p>
        </w:tc>
        <w:tc>
          <w:tcPr/>
          <w:p>
            <w:pPr>
              <w:pStyle w:val="Compact"/>
              <w:jc w:val="left"/>
            </w:pPr>
            <w:r>
              <w:t xml:space="preserve">22,400.00</w:t>
            </w:r>
          </w:p>
        </w:tc>
      </w:tr>
      <w:tr>
        <w:tc>
          <w:tcPr>
            <w:gridSpan w:val="4"/>
          </w:tcPr>
          <w:p>
            <w:pPr>
              <w:pStyle w:val="Compact"/>
              <w:jc w:val="right"/>
            </w:pPr>
            <w:r>
              <w:t xml:space="preserve">TOTAL ESTIMATED QUOTATION (per quarter, excl. VAT):</w:t>
            </w:r>
          </w:p>
        </w:tc>
        <w:tc>
          <w:tcPr/>
          <w:p>
            <w:pPr>
              <w:pStyle w:val="Compact"/>
              <w:jc w:val="left"/>
            </w:pPr>
            <w:r>
              <w:t xml:space="preserve">618,200.00 ILS</w:t>
            </w:r>
          </w:p>
        </w:tc>
      </w:tr>
      <w:tr>
        <w:tc>
          <w:tcPr>
            <w:gridSpan w:val="4"/>
          </w:tcPr>
          <w:p>
            <w:pPr>
              <w:pStyle w:val="Compact"/>
              <w:jc w:val="right"/>
            </w:pPr>
            <w:r>
              <w:t xml:space="preserve">VAT (18%):</w:t>
            </w:r>
          </w:p>
        </w:tc>
        <w:tc>
          <w:tcPr/>
          <w:p>
            <w:pPr>
              <w:pStyle w:val="Compact"/>
              <w:jc w:val="left"/>
            </w:pPr>
            <w:r>
              <w:t xml:space="preserve">111,276.00 ILS</w:t>
            </w:r>
          </w:p>
        </w:tc>
      </w:tr>
      <w:tr>
        <w:tc>
          <w:tcPr>
            <w:gridSpan w:val="4"/>
          </w:tcPr>
          <w:p>
            <w:pPr>
              <w:pStyle w:val="Compact"/>
              <w:jc w:val="right"/>
            </w:pPr>
            <w:r>
              <w:t xml:space="preserve">GRAND TOTAL (per quarter, incl. VAT):</w:t>
            </w:r>
          </w:p>
        </w:tc>
        <w:tc>
          <w:tcPr/>
          <w:p>
            <w:pPr>
              <w:pStyle w:val="Compact"/>
              <w:jc w:val="left"/>
            </w:pPr>
            <w:r>
              <w:t xml:space="preserve">729,476.00 ILS</w:t>
            </w:r>
          </w:p>
        </w:tc>
      </w:tr>
    </w:tbl>
    <w:p>
      <w:pPr>
        <w:pStyle w:val="BodyText"/>
      </w:pPr>
      <w:r>
        <w:rPr>
          <w:bCs/>
          <w:b/>
        </w:rPr>
        <w:t xml:space="preserve">Note:</w:t>
      </w:r>
      <w:r>
        <w:t xml:space="preserve"> </w:t>
      </w:r>
      <w:r>
        <w:t xml:space="preserve">This Quotation Estimate assumes a standard engagement period of one (1) quarter (three calendar months). The Banker's services in Israel Jerusalem may be extended on a rolling quarterly basis subject to mutual written agreement. Rates are fixed for the initial quarter and subject to annual review thereafter.</w:t>
      </w:r>
    </w:p>
    <w:bookmarkEnd w:id="23"/>
    <w:bookmarkStart w:id="24" w:name="assumptions-and-exclusions"/>
    <w:p>
      <w:pPr>
        <w:pStyle w:val="Heading2"/>
      </w:pPr>
      <w:r>
        <w:t xml:space="preserve">4. Assumptions and Exclusions</w:t>
      </w:r>
    </w:p>
    <w:p>
      <w:pPr>
        <w:pStyle w:val="FirstParagraph"/>
      </w:pPr>
      <w:r>
        <w:t xml:space="preserve">This Quotation Estimate is based on the following assumptions: (a) the client's primary place of business is located within the municipal boundaries of Jerusalem, Israel; (b) the Banker will have reasonable access to the client's financial records, banking statements, and corporate documentation; (c) no extraordinary litigation, insolvency proceedings, or regulatory enforcement actions are anticipated during the engagement period. This estimate excludes: legal fees for external Israeli law firms, audit fees for statutory auditors, stamp duties, notary fees, and any third-party bank charges levied by correspondent institutions.</w:t>
      </w:r>
    </w:p>
    <w:bookmarkEnd w:id="24"/>
    <w:bookmarkStart w:id="25" w:name="payment-terms"/>
    <w:p>
      <w:pPr>
        <w:pStyle w:val="Heading2"/>
      </w:pPr>
      <w:r>
        <w:t xml:space="preserve">5. Payment Terms</w:t>
      </w:r>
    </w:p>
    <w:p>
      <w:pPr>
        <w:pStyle w:val="FirstParagraph"/>
      </w:pPr>
      <w:r>
        <w:t xml:space="preserve">Invoices for the Banker's services shall be issued at the end of each calendar month and are payable within thirty (30) days of the invoice date via bank transfer to the firm's account at Bank Leumi, Jerusalem branch. A late payment surcharge of 1.5% per month shall apply to outstanding balances. A mobilization advance of 20% of the quarterly total is due upon execution of the service agreement.</w:t>
      </w:r>
    </w:p>
    <w:bookmarkEnd w:id="25"/>
    <w:bookmarkStart w:id="26" w:name="Xae40975dd2af624ac4b15715a9b61a3c4019edd"/>
    <w:p>
      <w:pPr>
        <w:pStyle w:val="Heading2"/>
      </w:pPr>
      <w:r>
        <w:t xml:space="preserve">6. Banker Qualifications and Professional Standards</w:t>
      </w:r>
    </w:p>
    <w:p>
      <w:pPr>
        <w:pStyle w:val="FirstParagraph"/>
      </w:pPr>
      <w:r>
        <w:t xml:space="preserve">The Banker assigned to this engagement holds a CFA charter, is a licensed financial advisor under the Israeli Capital Markets Law, and maintains professional indemnity insurance with a minimum coverage of 5,000,000 ILS. All services shall be rendered in accordance with the Bank of Israel's Code of Conduct for Banking Professionals and the ethical standards of the Israel Institute of Certified Public Accountants. The Banker shall maintain strict confidentiality of all client financial information in compliance with the Israeli Privacy Protection Law, 5741-1981.</w:t>
      </w:r>
    </w:p>
    <w:bookmarkEnd w:id="26"/>
    <w:bookmarkStart w:id="27" w:name="X985eb999f0cfcda5f1af1a675bf0b7c2e0a6c64"/>
    <w:p>
      <w:pPr>
        <w:pStyle w:val="Heading2"/>
      </w:pPr>
      <w:r>
        <w:t xml:space="preserve">7. Terms and Conditions of This Quotation Estimate</w:t>
      </w:r>
    </w:p>
    <w:p>
      <w:pPr>
        <w:pStyle w:val="FirstParagraph"/>
      </w:pPr>
      <w:r>
        <w:rPr>
          <w:bCs/>
          <w:b/>
        </w:rPr>
        <w:t xml:space="preserve">7.1</w:t>
      </w:r>
      <w:r>
        <w:t xml:space="preserve"> </w:t>
      </w:r>
      <w:r>
        <w:t xml:space="preserve">This Quotation Estimate is valid for thirty (30) days from the date of issue. Upon expiry, all rates and terms are subject to revision.</w:t>
      </w:r>
    </w:p>
    <w:p>
      <w:pPr>
        <w:pStyle w:val="BodyText"/>
      </w:pPr>
      <w:r>
        <w:rPr>
          <w:bCs/>
          <w:b/>
        </w:rPr>
        <w:t xml:space="preserve">7.2</w:t>
      </w:r>
      <w:r>
        <w:t xml:space="preserve"> </w:t>
      </w:r>
      <w:r>
        <w:t xml:space="preserve">Acceptance of this Quotation Estimate shall be confirmed by the client's written signature and return of the attached acceptance form to Levant Financial Advisory Group Ltd., Jerusalem, Israel.</w:t>
      </w:r>
    </w:p>
    <w:p>
      <w:pPr>
        <w:pStyle w:val="BodyText"/>
      </w:pPr>
      <w:r>
        <w:rPr>
          <w:bCs/>
          <w:b/>
        </w:rPr>
        <w:t xml:space="preserve">7.3</w:t>
      </w:r>
      <w:r>
        <w:t xml:space="preserve"> </w:t>
      </w:r>
      <w:r>
        <w:t xml:space="preserve">The Banker reserves the right to decline or modify services if the client's activities conflict with Israeli anti-money-laundering regulations (the Prevention of Money Laundering Law, 5759-1999) or international sanctions administered by the Bank of Israel.</w:t>
      </w:r>
    </w:p>
    <w:p>
      <w:pPr>
        <w:pStyle w:val="BodyText"/>
      </w:pPr>
      <w:r>
        <w:rPr>
          <w:bCs/>
          <w:b/>
        </w:rPr>
        <w:t xml:space="preserve">7.4</w:t>
      </w:r>
      <w:r>
        <w:t xml:space="preserve"> </w:t>
      </w:r>
      <w:r>
        <w:t xml:space="preserve">Any dispute arising from this Quotation Estimate or the subsequent service agreement shall be resolved by arbitration in Jerusalem, Israel, in accordance with the rules of the Israel Arbitration Association.</w:t>
      </w:r>
    </w:p>
    <w:p>
      <w:pPr>
        <w:pStyle w:val="BodyText"/>
      </w:pPr>
      <w:r>
        <w:rPr>
          <w:bCs/>
          <w:b/>
        </w:rPr>
        <w:t xml:space="preserve">7.5</w:t>
      </w:r>
      <w:r>
        <w:t xml:space="preserve"> </w:t>
      </w:r>
      <w:r>
        <w:t xml:space="preserve">This Quotation Estimate does not constitute a binding contract until both parties have executed the formal Service Agreement in writing.</w:t>
      </w:r>
    </w:p>
    <w:p>
      <w:pPr>
        <w:pStyle w:val="BodyText"/>
      </w:pPr>
      <w:r>
        <w:rPr>
          <w:bCs/>
          <w:b/>
        </w:rPr>
        <w:t xml:space="preserve">For and on behalf of Levant Financial Advisory Group Ltd.:</w:t>
      </w:r>
    </w:p>
    <w:p>
      <w:pPr>
        <w:pStyle w:val="BodyText"/>
      </w:pPr>
      <w:r>
        <w:t xml:space="preserve">Name: David Ben-Ari</w:t>
      </w:r>
      <w:r>
        <w:br/>
      </w:r>
      <w:r>
        <w:t xml:space="preserve">Title: Senior Banker &amp; Managing Director</w:t>
      </w:r>
      <w:r>
        <w:br/>
      </w:r>
      <w:r>
        <w:t xml:space="preserve">Signature: _________________________</w:t>
      </w:r>
      <w:r>
        <w:br/>
      </w:r>
      <w:r>
        <w:t xml:space="preserve">Date: _________________________</w:t>
      </w:r>
    </w:p>
    <w:p>
      <w:pPr>
        <w:pStyle w:val="BodyText"/>
      </w:pPr>
      <w:r>
        <w:rPr>
          <w:bCs/>
          <w:b/>
        </w:rPr>
        <w:t xml:space="preserve">Accepted by the Client:</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Quotation Estimate No. QTE-JER-2025-04871 | Levant Financial Advisory Group Ltd. | 12 King George Street, Jerusalem 97100, Israel</w:t>
      </w:r>
      <w:r>
        <w:br/>
      </w:r>
      <w:r>
        <w:t xml:space="preserve">This document is a Quotation Estimate for Banker services in Israel Jerusalem and does not constitute a final invoice or binding contract.</w:t>
      </w:r>
      <w:r>
        <w:br/>
      </w:r>
      <w:r>
        <w:t xml:space="preserve">© 2025 Levant Financial Advisory Group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Israel Jerusalem</dc:title>
  <dc:creator/>
  <dc:language>en</dc:language>
  <cp:keywords/>
  <dcterms:created xsi:type="dcterms:W3CDTF">2026-10-10T06:48:53Z</dcterms:created>
  <dcterms:modified xsi:type="dcterms:W3CDTF">2026-10-10T06:48:53Z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