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Banker Services — Italy Rome</w:t>
      </w:r>
    </w:p>
    <w:p>
      <w:pPr>
        <w:pStyle w:val="BodyText"/>
      </w:pPr>
      <w:r>
        <w:t xml:space="preserve">OFFICIAL DOCUMENT</w:t>
      </w:r>
      <w:r>
        <w:t xml:space="preserve"> </w:t>
      </w:r>
      <w:r>
        <w:t xml:space="preserve">REF: QE-ROME-2025-0847</w:t>
      </w:r>
    </w:p>
    <w:bookmarkEnd w:id="20"/>
    <w:p>
      <w:pPr>
        <w:pStyle w:val="BodyText"/>
      </w:pPr>
      <w:r>
        <w:rPr>
          <w:bCs/>
          <w:b/>
        </w:rPr>
        <w:t xml:space="preserve">Prepared By:</w:t>
      </w:r>
      <w:r>
        <w:br/>
      </w:r>
      <w:r>
        <w:t xml:space="preserve">Marco Alessandro De Santis</w:t>
      </w:r>
      <w:r>
        <w:br/>
      </w:r>
      <w:r>
        <w:t xml:space="preserve">Senior Banker &amp; Financial Advisor</w:t>
      </w:r>
      <w:r>
        <w:br/>
      </w:r>
      <w:r>
        <w:t xml:space="preserve">Banca Romana Fidecommissaria S.p.A.</w:t>
      </w:r>
      <w:r>
        <w:br/>
      </w:r>
      <w:r>
        <w:t xml:space="preserve">Via del Corso 142, 00186 Rome, Italy</w:t>
      </w:r>
    </w:p>
    <w:p>
      <w:pPr>
        <w:pStyle w:val="BodyText"/>
      </w:pPr>
      <w:r>
        <w:rPr>
          <w:bCs/>
          <w:b/>
        </w:rPr>
        <w:t xml:space="preserve">Quotation Estimate Date:</w:t>
      </w:r>
      <w:r>
        <w:br/>
      </w:r>
      <w:r>
        <w:t xml:space="preserve">14 June 2025</w:t>
      </w:r>
      <w:r>
        <w:br/>
      </w:r>
      <w:r>
        <w:rPr>
          <w:bCs/>
          <w:b/>
        </w:rPr>
        <w:t xml:space="preserve">Valid Until:</w:t>
      </w:r>
      <w:r>
        <w:br/>
      </w:r>
      <w:r>
        <w:t xml:space="preserve">14 September 2025</w:t>
      </w:r>
      <w:r>
        <w:br/>
      </w:r>
      <w:r>
        <w:rPr>
          <w:bCs/>
          <w:b/>
        </w:rPr>
        <w:t xml:space="preserve">Currency:</w:t>
      </w:r>
      <w:r>
        <w:t xml:space="preserve"> </w:t>
      </w:r>
      <w:r>
        <w:t xml:space="preserve">EUR (€)</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Signora Elena Marchetti</w:t>
            </w:r>
          </w:p>
        </w:tc>
        <w:tc>
          <w:tcPr/>
          <w:p>
            <w:pPr>
              <w:pStyle w:val="Compact"/>
              <w:jc w:val="left"/>
            </w:pPr>
            <w:r>
              <w:rPr>
                <w:bCs/>
                <w:b/>
              </w:rPr>
              <w:t xml:space="preserve">Client Reference:</w:t>
            </w:r>
            <w:r>
              <w:t xml:space="preserve"> </w:t>
            </w:r>
            <w:r>
              <w:t xml:space="preserve">CL-2025-1193</w:t>
            </w:r>
          </w:p>
        </w:tc>
      </w:tr>
      <w:tr>
        <w:tc>
          <w:tcPr/>
          <w:p>
            <w:pPr>
              <w:pStyle w:val="Compact"/>
              <w:jc w:val="left"/>
            </w:pPr>
            <w:r>
              <w:rPr>
                <w:bCs/>
                <w:b/>
              </w:rPr>
              <w:t xml:space="preserve">Address:</w:t>
            </w:r>
            <w:r>
              <w:t xml:space="preserve"> </w:t>
            </w:r>
            <w:r>
              <w:t xml:space="preserve">Piazza Navona 27, 00186 Rome, Italy</w:t>
            </w:r>
          </w:p>
        </w:tc>
        <w:tc>
          <w:tcPr/>
          <w:p>
            <w:pPr>
              <w:pStyle w:val="Compact"/>
              <w:jc w:val="left"/>
            </w:pPr>
            <w:r>
              <w:rPr>
                <w:bCs/>
                <w:b/>
              </w:rPr>
              <w:t xml:space="preserve">Tax Code (Codice Fiscale):</w:t>
            </w:r>
            <w:r>
              <w:t xml:space="preserve"> </w:t>
            </w:r>
            <w:r>
              <w:t xml:space="preserve">MRC LNA 85T42 H501X</w:t>
            </w:r>
          </w:p>
        </w:tc>
      </w:tr>
      <w:tr>
        <w:tc>
          <w:tcPr/>
          <w:p>
            <w:pPr>
              <w:pStyle w:val="Compact"/>
              <w:jc w:val="left"/>
            </w:pPr>
            <w:r>
              <w:rPr>
                <w:bCs/>
                <w:b/>
              </w:rPr>
              <w:t xml:space="preserve">Business Activity:</w:t>
            </w:r>
            <w:r>
              <w:t xml:space="preserve"> </w:t>
            </w:r>
            <w:r>
              <w:t xml:space="preserve">Art Gallery &amp; Cultural Foundation</w:t>
            </w:r>
          </w:p>
        </w:tc>
        <w:tc>
          <w:tcPr/>
          <w:p>
            <w:pPr>
              <w:pStyle w:val="Compact"/>
              <w:jc w:val="left"/>
            </w:pPr>
            <w:r>
              <w:rPr>
                <w:bCs/>
                <w:b/>
              </w:rPr>
              <w:t xml:space="preserve">Chamber of Commerce (CCIAA Rome):</w:t>
            </w:r>
            <w:r>
              <w:t xml:space="preserve"> </w:t>
            </w:r>
            <w:r>
              <w:t xml:space="preserve">RM-2019-44872</w:t>
            </w:r>
          </w:p>
        </w:tc>
      </w:tr>
    </w:tbl>
    <w:p>
      <w:pPr>
        <w:pStyle w:val="BodyText"/>
      </w:pPr>
      <w:r>
        <w:t xml:space="preserve">2. Scope of Banker Services — Italy Rome</w:t>
      </w:r>
    </w:p>
    <w:p>
      <w:pPr>
        <w:pStyle w:val="BodyText"/>
      </w:pPr>
      <w:r>
        <w:t xml:space="preserve">This</w:t>
      </w:r>
      <w:r>
        <w:t xml:space="preserve"> </w:t>
      </w:r>
      <w:r>
        <w:t xml:space="preserve">Quotation Estimate</w:t>
      </w:r>
      <w:r>
        <w:t xml:space="preserve"> </w:t>
      </w:r>
      <w:r>
        <w:t xml:space="preserve">is issued by the undersigned</w:t>
      </w:r>
      <w:r>
        <w:t xml:space="preserve"> </w:t>
      </w:r>
      <w:r>
        <w:t xml:space="preserve">Banker</w:t>
      </w:r>
      <w:r>
        <w:t xml:space="preserve"> </w:t>
      </w:r>
      <w:r>
        <w:t xml:space="preserve">in the capacity of Senior Financial Advisor at Banca Romana Fidecommissaria S.p.A., operating within the jurisdiction of</w:t>
      </w:r>
      <w:r>
        <w:t xml:space="preserve"> </w:t>
      </w:r>
      <w:r>
        <w:t xml:space="preserve">Italy Rome</w:t>
      </w:r>
      <w:r>
        <w:t xml:space="preserve">. The following professional banking services are proposed for the exclusive benefit of the Client, tailored to the regulatory and commercial environment of the Rome metropolitan area and the broader Lazio region of Italy.</w:t>
      </w:r>
    </w:p>
    <w:p>
      <w:pPr>
        <w:pStyle w:val="BodyText"/>
      </w:pPr>
      <w:r>
        <w:t xml:space="preserve">As your dedicated</w:t>
      </w:r>
      <w:r>
        <w:t xml:space="preserve"> </w:t>
      </w:r>
      <w:r>
        <w:t xml:space="preserve">Banker</w:t>
      </w:r>
      <w:r>
        <w:t xml:space="preserve"> </w:t>
      </w:r>
      <w:r>
        <w:t xml:space="preserve">in</w:t>
      </w:r>
      <w:r>
        <w:t xml:space="preserve"> </w:t>
      </w:r>
      <w:r>
        <w:t xml:space="preserve">Italy Rome</w:t>
      </w:r>
      <w:r>
        <w:t xml:space="preserve">, I am pleased to present this comprehensive</w:t>
      </w:r>
      <w:r>
        <w:t xml:space="preserve"> </w:t>
      </w:r>
      <w:r>
        <w:t xml:space="preserve">Quotation Estimate</w:t>
      </w:r>
      <w:r>
        <w:t xml:space="preserve"> </w:t>
      </w:r>
      <w:r>
        <w:t xml:space="preserve">outlining the full spectrum of advisory, transactional, and custodial banking services that will be rendered over the forthcoming twelve-month engagement period. All services comply with the regulations set forth by the Banca d'Italia, the European Central Bank, and the applicable provisions of the Italian Civil Code (Codice Civile) and the TUB (Testo Unico della Finanza).</w:t>
      </w:r>
    </w:p>
    <w:p>
      <w:pPr>
        <w:pStyle w:val="BodyText"/>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(EUR)</w:t>
            </w:r>
          </w:p>
        </w:tc>
        <w:tc>
          <w:tcPr/>
          <w:p>
            <w:pPr>
              <w:pStyle w:val="Compact"/>
              <w:jc w:val="left"/>
            </w:pPr>
            <w:r>
              <w:t xml:space="preserve">Annual 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Corporate Account Management &amp; Daily Banking Operations in Italy Rome</w:t>
            </w:r>
          </w:p>
        </w:tc>
        <w:tc>
          <w:tcPr/>
          <w:p>
            <w:pPr>
              <w:pStyle w:val="Compact"/>
              <w:jc w:val="left"/>
            </w:pPr>
            <w:r>
              <w:t xml:space="preserve">Monthly</w:t>
            </w:r>
          </w:p>
        </w:tc>
        <w:tc>
          <w:tcPr/>
          <w:p>
            <w:pPr>
              <w:pStyle w:val="Compact"/>
              <w:jc w:val="left"/>
            </w:pPr>
            <w:r>
              <w:t xml:space="preserve">€ 480.00</w:t>
            </w:r>
          </w:p>
        </w:tc>
        <w:tc>
          <w:tcPr/>
          <w:p>
            <w:pPr>
              <w:pStyle w:val="Compact"/>
              <w:jc w:val="left"/>
            </w:pPr>
            <w:r>
              <w:t xml:space="preserve">€ 5,760.00</w:t>
            </w:r>
          </w:p>
        </w:tc>
        <w:tc>
          <w:tcPr/>
          <w:p>
            <w:pPr>
              <w:pStyle w:val="Compact"/>
              <w:jc w:val="left"/>
            </w:pPr>
            <w:r>
              <w:t xml:space="preserve">Incl. SEPA transfers</w:t>
            </w:r>
          </w:p>
        </w:tc>
      </w:tr>
      <w:tr>
        <w:tc>
          <w:tcPr/>
          <w:p>
            <w:pPr>
              <w:pStyle w:val="Compact"/>
              <w:jc w:val="left"/>
            </w:pPr>
            <w:r>
              <w:t xml:space="preserve">2</w:t>
            </w:r>
          </w:p>
        </w:tc>
        <w:tc>
          <w:tcPr/>
          <w:p>
            <w:pPr>
              <w:pStyle w:val="Compact"/>
              <w:jc w:val="left"/>
            </w:pPr>
            <w:r>
              <w:t xml:space="preserve">Personalized Banker Advisory &amp; Portfolio Strategy Sessions</w:t>
            </w:r>
          </w:p>
        </w:tc>
        <w:tc>
          <w:tcPr/>
          <w:p>
            <w:pPr>
              <w:pStyle w:val="Compact"/>
              <w:jc w:val="left"/>
            </w:pPr>
            <w:r>
              <w:t xml:space="preserve">Quarterly</w:t>
            </w:r>
          </w:p>
        </w:tc>
        <w:tc>
          <w:tcPr/>
          <w:p>
            <w:pPr>
              <w:pStyle w:val="Compact"/>
              <w:jc w:val="left"/>
            </w:pPr>
            <w:r>
              <w:t xml:space="preserve">€ 1,200.00</w:t>
            </w:r>
          </w:p>
        </w:tc>
        <w:tc>
          <w:tcPr/>
          <w:p>
            <w:pPr>
              <w:pStyle w:val="Compact"/>
              <w:jc w:val="left"/>
            </w:pPr>
            <w:r>
              <w:t xml:space="preserve">€ 4,800.00</w:t>
            </w:r>
          </w:p>
        </w:tc>
        <w:tc>
          <w:tcPr/>
          <w:p>
            <w:pPr>
              <w:pStyle w:val="Compact"/>
              <w:jc w:val="left"/>
            </w:pPr>
            <w:r>
              <w:t xml:space="preserve">4 sessions / year</w:t>
            </w:r>
          </w:p>
        </w:tc>
      </w:tr>
      <w:tr>
        <w:tc>
          <w:tcPr/>
          <w:p>
            <w:pPr>
              <w:pStyle w:val="Compact"/>
              <w:jc w:val="left"/>
            </w:pPr>
            <w:r>
              <w:t xml:space="preserve">3</w:t>
            </w:r>
          </w:p>
        </w:tc>
        <w:tc>
          <w:tcPr/>
          <w:p>
            <w:pPr>
              <w:pStyle w:val="Compact"/>
              <w:jc w:val="left"/>
            </w:pPr>
            <w:r>
              <w:t xml:space="preserve">Currency Exchange &amp; International Remittance Handling (EUR/USD/GBP)</w:t>
            </w:r>
          </w:p>
        </w:tc>
        <w:tc>
          <w:tcPr/>
          <w:p>
            <w:pPr>
              <w:pStyle w:val="Compact"/>
              <w:jc w:val="left"/>
            </w:pPr>
            <w:r>
              <w:t xml:space="preserve">Per transaction</w:t>
            </w:r>
          </w:p>
        </w:tc>
        <w:tc>
          <w:tcPr/>
          <w:p>
            <w:pPr>
              <w:pStyle w:val="Compact"/>
              <w:jc w:val="left"/>
            </w:pPr>
            <w:r>
              <w:t xml:space="preserve">€ 150.00</w:t>
            </w:r>
          </w:p>
        </w:tc>
        <w:tc>
          <w:tcPr/>
          <w:p>
            <w:pPr>
              <w:pStyle w:val="Compact"/>
              <w:jc w:val="left"/>
            </w:pPr>
            <w:r>
              <w:t xml:space="preserve">€ 3,000.00</w:t>
            </w:r>
          </w:p>
        </w:tc>
        <w:tc>
          <w:tcPr/>
          <w:p>
            <w:pPr>
              <w:pStyle w:val="Compact"/>
              <w:jc w:val="left"/>
            </w:pPr>
            <w:r>
              <w:t xml:space="preserve">Est. 20 transactions</w:t>
            </w:r>
          </w:p>
        </w:tc>
      </w:tr>
      <w:tr>
        <w:tc>
          <w:tcPr/>
          <w:p>
            <w:pPr>
              <w:pStyle w:val="Compact"/>
              <w:jc w:val="left"/>
            </w:pPr>
            <w:r>
              <w:t xml:space="preserve">4</w:t>
            </w:r>
          </w:p>
        </w:tc>
        <w:tc>
          <w:tcPr/>
          <w:p>
            <w:pPr>
              <w:pStyle w:val="Compact"/>
              <w:jc w:val="left"/>
            </w:pPr>
            <w:r>
              <w:t xml:space="preserve">Trade Finance &amp; Letter of Credit Issuance for Art Imports</w:t>
            </w:r>
          </w:p>
        </w:tc>
        <w:tc>
          <w:tcPr/>
          <w:p>
            <w:pPr>
              <w:pStyle w:val="Compact"/>
              <w:jc w:val="left"/>
            </w:pPr>
            <w:r>
              <w:t xml:space="preserve">Per issuance</w:t>
            </w:r>
          </w:p>
        </w:tc>
        <w:tc>
          <w:tcPr/>
          <w:p>
            <w:pPr>
              <w:pStyle w:val="Compact"/>
              <w:jc w:val="left"/>
            </w:pPr>
            <w:r>
              <w:t xml:space="preserve">€ 850.00</w:t>
            </w:r>
          </w:p>
        </w:tc>
        <w:tc>
          <w:tcPr/>
          <w:p>
            <w:pPr>
              <w:pStyle w:val="Compact"/>
              <w:jc w:val="left"/>
            </w:pPr>
            <w:r>
              <w:t xml:space="preserve">€ 5,100.00</w:t>
            </w:r>
          </w:p>
        </w:tc>
        <w:tc>
          <w:tcPr/>
          <w:p>
            <w:pPr>
              <w:pStyle w:val="Compact"/>
              <w:jc w:val="left"/>
            </w:pPr>
            <w:r>
              <w:t xml:space="preserve">Est. 6 issuances</w:t>
            </w:r>
          </w:p>
        </w:tc>
      </w:tr>
      <w:tr>
        <w:tc>
          <w:tcPr/>
          <w:p>
            <w:pPr>
              <w:pStyle w:val="Compact"/>
              <w:jc w:val="left"/>
            </w:pPr>
            <w:r>
              <w:t xml:space="preserve">5</w:t>
            </w:r>
          </w:p>
        </w:tc>
        <w:tc>
          <w:tcPr/>
          <w:p>
            <w:pPr>
              <w:pStyle w:val="Compact"/>
              <w:jc w:val="left"/>
            </w:pPr>
            <w:r>
              <w:t xml:space="preserve">Compliance, AML Screening &amp; Regulatory Reporting (Banca d'Italia)</w:t>
            </w:r>
          </w:p>
        </w:tc>
        <w:tc>
          <w:tcPr/>
          <w:p>
            <w:pPr>
              <w:pStyle w:val="Compact"/>
              <w:jc w:val="left"/>
            </w:pPr>
            <w:r>
              <w:t xml:space="preserve">Monthly</w:t>
            </w:r>
          </w:p>
        </w:tc>
        <w:tc>
          <w:tcPr/>
          <w:p>
            <w:pPr>
              <w:pStyle w:val="Compact"/>
              <w:jc w:val="left"/>
            </w:pPr>
            <w:r>
              <w:t xml:space="preserve">€ 320.00</w:t>
            </w:r>
          </w:p>
        </w:tc>
        <w:tc>
          <w:tcPr/>
          <w:p>
            <w:pPr>
              <w:pStyle w:val="Compact"/>
              <w:jc w:val="left"/>
            </w:pPr>
            <w:r>
              <w:t xml:space="preserve">€ 3,840.00</w:t>
            </w:r>
          </w:p>
        </w:tc>
        <w:tc>
          <w:tcPr/>
          <w:p>
            <w:pPr>
              <w:pStyle w:val="Compact"/>
              <w:jc w:val="left"/>
            </w:pPr>
            <w:r>
              <w:t xml:space="preserve">Mandatory in Italy</w:t>
            </w:r>
          </w:p>
        </w:tc>
      </w:tr>
      <w:tr>
        <w:tc>
          <w:tcPr/>
          <w:p>
            <w:pPr>
              <w:pStyle w:val="Compact"/>
              <w:jc w:val="left"/>
            </w:pPr>
            <w:r>
              <w:t xml:space="preserve">6</w:t>
            </w:r>
          </w:p>
        </w:tc>
        <w:tc>
          <w:tcPr/>
          <w:p>
            <w:pPr>
              <w:pStyle w:val="Compact"/>
              <w:jc w:val="left"/>
            </w:pPr>
            <w:r>
              <w:t xml:space="preserve">Real Estate Mortgage Advisory &amp; Property Valuation Coordination (Rome)</w:t>
            </w:r>
          </w:p>
        </w:tc>
        <w:tc>
          <w:tcPr/>
          <w:p>
            <w:pPr>
              <w:pStyle w:val="Compact"/>
              <w:jc w:val="left"/>
            </w:pPr>
            <w:r>
              <w:t xml:space="preserve">One-time</w:t>
            </w:r>
          </w:p>
        </w:tc>
        <w:tc>
          <w:tcPr/>
          <w:p>
            <w:pPr>
              <w:pStyle w:val="Compact"/>
              <w:jc w:val="left"/>
            </w:pPr>
            <w:r>
              <w:t xml:space="preserve">€ 2,500.00</w:t>
            </w:r>
          </w:p>
        </w:tc>
        <w:tc>
          <w:tcPr/>
          <w:p>
            <w:pPr>
              <w:pStyle w:val="Compact"/>
              <w:jc w:val="left"/>
            </w:pPr>
            <w:r>
              <w:t xml:space="preserve">€ 2,500.00</w:t>
            </w:r>
          </w:p>
        </w:tc>
        <w:tc>
          <w:tcPr/>
          <w:p>
            <w:pPr>
              <w:pStyle w:val="Compact"/>
              <w:jc w:val="left"/>
            </w:pPr>
            <w:r>
              <w:t xml:space="preserve">Gallery expansion</w:t>
            </w:r>
          </w:p>
        </w:tc>
      </w:tr>
      <w:tr>
        <w:tc>
          <w:tcPr/>
          <w:p>
            <w:pPr>
              <w:pStyle w:val="Compact"/>
              <w:jc w:val="left"/>
            </w:pPr>
            <w:r>
              <w:t xml:space="preserve">7</w:t>
            </w:r>
          </w:p>
        </w:tc>
        <w:tc>
          <w:tcPr/>
          <w:p>
            <w:pPr>
              <w:pStyle w:val="Compact"/>
              <w:jc w:val="left"/>
            </w:pPr>
            <w:r>
              <w:t xml:space="preserve">Digital Banking Platform Access &amp; API Integration</w:t>
            </w:r>
          </w:p>
        </w:tc>
        <w:tc>
          <w:tcPr/>
          <w:p>
            <w:pPr>
              <w:pStyle w:val="Compact"/>
              <w:jc w:val="left"/>
            </w:pPr>
            <w:r>
              <w:t xml:space="preserve">Annual</w:t>
            </w:r>
          </w:p>
        </w:tc>
        <w:tc>
          <w:tcPr/>
          <w:p>
            <w:pPr>
              <w:pStyle w:val="Compact"/>
              <w:jc w:val="left"/>
            </w:pPr>
            <w:r>
              <w:t xml:space="preserve">€ 1,800.00</w:t>
            </w:r>
          </w:p>
        </w:tc>
        <w:tc>
          <w:tcPr/>
          <w:p>
            <w:pPr>
              <w:pStyle w:val="Compact"/>
              <w:jc w:val="left"/>
            </w:pPr>
            <w:r>
              <w:t xml:space="preserve">€ 1,800.00</w:t>
            </w:r>
          </w:p>
        </w:tc>
        <w:tc>
          <w:tcPr/>
          <w:p>
            <w:pPr>
              <w:pStyle w:val="Compact"/>
              <w:jc w:val="left"/>
            </w:pPr>
            <w:r>
              <w:t xml:space="preserve">Secure portal</w:t>
            </w:r>
          </w:p>
        </w:tc>
      </w:tr>
      <w:tr>
        <w:tc>
          <w:tcPr/>
          <w:p>
            <w:pPr>
              <w:pStyle w:val="Compact"/>
              <w:jc w:val="left"/>
            </w:pPr>
            <w:r>
              <w:t xml:space="preserve">8</w:t>
            </w:r>
          </w:p>
        </w:tc>
        <w:tc>
          <w:tcPr/>
          <w:p>
            <w:pPr>
              <w:pStyle w:val="Compact"/>
              <w:jc w:val="left"/>
            </w:pPr>
            <w:r>
              <w:t xml:space="preserve">Tax Optimization Consulting (Agenzia delle Entrate Coordination)</w:t>
            </w:r>
          </w:p>
        </w:tc>
        <w:tc>
          <w:tcPr/>
          <w:p>
            <w:pPr>
              <w:pStyle w:val="Compact"/>
              <w:jc w:val="left"/>
            </w:pPr>
            <w:r>
              <w:t xml:space="preserve">Bi-annual</w:t>
            </w:r>
          </w:p>
        </w:tc>
        <w:tc>
          <w:tcPr/>
          <w:p>
            <w:pPr>
              <w:pStyle w:val="Compact"/>
              <w:jc w:val="left"/>
            </w:pPr>
            <w:r>
              <w:t xml:space="preserve">€ 950.00</w:t>
            </w:r>
          </w:p>
        </w:tc>
        <w:tc>
          <w:tcPr/>
          <w:p>
            <w:pPr>
              <w:pStyle w:val="Compact"/>
              <w:jc w:val="left"/>
            </w:pPr>
            <w:r>
              <w:t xml:space="preserve">€ 1,900.00</w:t>
            </w:r>
          </w:p>
        </w:tc>
        <w:tc>
          <w:tcPr/>
          <w:p>
            <w:pPr>
              <w:pStyle w:val="Compact"/>
              <w:jc w:val="left"/>
            </w:pPr>
            <w:r>
              <w:t xml:space="preserve">2 sessions / year</w:t>
            </w:r>
          </w:p>
        </w:tc>
      </w:tr>
      <w:tr>
        <w:tc>
          <w:tcPr>
            <w:gridSpan w:val="4"/>
          </w:tcPr>
          <w:p>
            <w:pPr>
              <w:pStyle w:val="Compact"/>
              <w:jc w:val="right"/>
            </w:pPr>
            <w:r>
              <w:t xml:space="preserve">TOTAL QUOTATION ESTIMATE (Excl. IVA 22%)</w:t>
            </w:r>
          </w:p>
        </w:tc>
        <w:tc>
          <w:tcPr/>
          <w:p>
            <w:pPr>
              <w:pStyle w:val="Compact"/>
              <w:jc w:val="left"/>
            </w:pPr>
            <w:r>
              <w:t xml:space="preserve">€ 28,700.00</w:t>
            </w:r>
          </w:p>
        </w:tc>
        <w:tc>
          <w:tcPr/>
          <w:p>
            <w:pPr>
              <w:pStyle w:val="Compact"/>
            </w:pPr>
          </w:p>
        </w:tc>
      </w:tr>
      <w:tr>
        <w:tc>
          <w:tcPr>
            <w:gridSpan w:val="4"/>
          </w:tcPr>
          <w:p>
            <w:pPr>
              <w:pStyle w:val="Compact"/>
              <w:jc w:val="right"/>
            </w:pPr>
            <w:r>
              <w:t xml:space="preserve">IVA (VAT) 22% — Italy Rome</w:t>
            </w:r>
          </w:p>
        </w:tc>
        <w:tc>
          <w:tcPr/>
          <w:p>
            <w:pPr>
              <w:pStyle w:val="Compact"/>
              <w:jc w:val="left"/>
            </w:pPr>
            <w:r>
              <w:t xml:space="preserve">€ 6,314.00</w:t>
            </w:r>
          </w:p>
        </w:tc>
        <w:tc>
          <w:tcPr/>
          <w:p>
            <w:pPr>
              <w:pStyle w:val="Compact"/>
            </w:pPr>
          </w:p>
        </w:tc>
      </w:tr>
      <w:tr>
        <w:tc>
          <w:tcPr>
            <w:gridSpan w:val="4"/>
          </w:tcPr>
          <w:p>
            <w:pPr>
              <w:pStyle w:val="Compact"/>
              <w:jc w:val="right"/>
            </w:pPr>
            <w:r>
              <w:t xml:space="preserve">GRAND TOTAL (Incl. IVA)</w:t>
            </w:r>
          </w:p>
        </w:tc>
        <w:tc>
          <w:tcPr/>
          <w:p>
            <w:pPr>
              <w:pStyle w:val="Compact"/>
              <w:jc w:val="left"/>
            </w:pPr>
            <w:r>
              <w:t xml:space="preserve">€ 35,014.00</w:t>
            </w:r>
          </w:p>
        </w:tc>
        <w:tc>
          <w:tcPr/>
          <w:p>
            <w:pPr>
              <w:pStyle w:val="Compact"/>
            </w:pPr>
          </w:p>
        </w:tc>
      </w:tr>
    </w:tbl>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ninety (90) calendar days from the date of issue. After this period, the Banker reserves the right to revise fees in accordance with prevailing market conditions in Italy Rome.</w:t>
      </w:r>
    </w:p>
    <w:p>
      <w:pPr>
        <w:numPr>
          <w:ilvl w:val="0"/>
          <w:numId w:val="1001"/>
        </w:numPr>
        <w:pStyle w:val="Compact"/>
      </w:pPr>
      <w:r>
        <w:rPr>
          <w:bCs/>
          <w:b/>
        </w:rPr>
        <w:t xml:space="preserve">Payment Terms:</w:t>
      </w:r>
      <w:r>
        <w:t xml:space="preserve"> </w:t>
      </w:r>
      <w:r>
        <w:t xml:space="preserve">Invoices shall be issued monthly in arrears. Payment is due within thirty (30) days of invoice date via SEPA bank transfer to the account held at Banca Romana Fidecommissaria S.p.A., Rome branch.</w:t>
      </w:r>
    </w:p>
    <w:p>
      <w:pPr>
        <w:numPr>
          <w:ilvl w:val="0"/>
          <w:numId w:val="1001"/>
        </w:numPr>
        <w:pStyle w:val="Compact"/>
      </w:pPr>
      <w:r>
        <w:rPr>
          <w:bCs/>
          <w:b/>
        </w:rPr>
        <w:t xml:space="preserve">Regulatory Compliance:</w:t>
      </w:r>
      <w:r>
        <w:t xml:space="preserve"> </w:t>
      </w:r>
      <w:r>
        <w:t xml:space="preserve">All services rendered by the Banker are subject to the anti-money laundering directives of the Banca d'Italia and the European Union. The Client agrees to provide all documentation required for KYC (Know Your Customer) procedures as mandated in Italy.</w:t>
      </w:r>
    </w:p>
    <w:p>
      <w:pPr>
        <w:numPr>
          <w:ilvl w:val="0"/>
          <w:numId w:val="1001"/>
        </w:numPr>
        <w:pStyle w:val="Compact"/>
      </w:pPr>
      <w:r>
        <w:rPr>
          <w:bCs/>
          <w:b/>
        </w:rPr>
        <w:t xml:space="preserve">Confidentiality:</w:t>
      </w:r>
      <w:r>
        <w:t xml:space="preserve"> </w:t>
      </w:r>
      <w:r>
        <w:t xml:space="preserve">The Banker undertakes strict professional secrecy in accordance with Article 2105 of the Italian Civil Code. No client data pertaining to this Quotation Estimate or subsequent banking operations in Italy Rome shall be disclosed to third parties without written consent.</w:t>
      </w:r>
    </w:p>
    <w:p>
      <w:pPr>
        <w:numPr>
          <w:ilvl w:val="0"/>
          <w:numId w:val="1001"/>
        </w:numPr>
        <w:pStyle w:val="Compact"/>
      </w:pPr>
      <w:r>
        <w:rPr>
          <w:bCs/>
          <w:b/>
        </w:rPr>
        <w:t xml:space="preserve">Termination:</w:t>
      </w:r>
      <w:r>
        <w:t xml:space="preserve"> </w:t>
      </w:r>
      <w:r>
        <w:t xml:space="preserve">Either party may terminate the engagement with sixty (60) days' written notice. Upon termination, all outstanding fees specified in this Quotation Estimate shall remain payable.</w:t>
      </w:r>
    </w:p>
    <w:p>
      <w:pPr>
        <w:numPr>
          <w:ilvl w:val="0"/>
          <w:numId w:val="1001"/>
        </w:numPr>
        <w:pStyle w:val="Compact"/>
      </w:pPr>
      <w:r>
        <w:rPr>
          <w:bCs/>
          <w:b/>
        </w:rPr>
        <w:t xml:space="preserve">Governing Law:</w:t>
      </w:r>
      <w:r>
        <w:t xml:space="preserve"> </w:t>
      </w:r>
      <w:r>
        <w:t xml:space="preserve">This Quotation Estimate and all services herein are governed by the laws of the Italian Republic. Any disputes shall be resolved by the competent courts of Rome, Italy.</w:t>
      </w:r>
    </w:p>
    <w:p>
      <w:pPr>
        <w:pStyle w:val="FirstParagraph"/>
      </w:pPr>
      <w:r>
        <w:t xml:space="preserve">5. Acceptance &amp; Authorization</w:t>
      </w:r>
    </w:p>
    <w:p>
      <w:pPr>
        <w:pStyle w:val="BodyText"/>
      </w:pPr>
      <w:r>
        <w:t xml:space="preserve">By signing below, the Client acknowledges receipt of this Quotation Estimate and authorizes the undersigned Banker to commence the banking services described herein in Italy Rome, effective from the first business day following the date of signature.</w:t>
      </w:r>
    </w:p>
    <w:p>
      <w:pPr>
        <w:pStyle w:val="BodyText"/>
      </w:pPr>
      <w:r>
        <w:rPr>
          <w:bCs/>
          <w:b/>
        </w:rPr>
        <w:t xml:space="preserve">For Banca Romana Fidecommissaria S.p.A.</w:t>
      </w:r>
      <w:r>
        <w:br/>
      </w:r>
      <w:r>
        <w:t xml:space="preserve">Marco Alessandro De Santis</w:t>
      </w:r>
      <w:r>
        <w:br/>
      </w:r>
      <w:r>
        <w:t xml:space="preserve">Senior Banker &amp; Financial Advisor</w:t>
      </w:r>
      <w:r>
        <w:br/>
      </w:r>
      <w:r>
        <w:t xml:space="preserve">Date: _______________</w:t>
      </w:r>
    </w:p>
    <w:p>
      <w:pPr>
        <w:pStyle w:val="BodyText"/>
      </w:pPr>
      <w:r>
        <w:rPr>
          <w:bCs/>
          <w:b/>
        </w:rPr>
        <w:t xml:space="preserve">Client Acceptance</w:t>
      </w:r>
      <w:r>
        <w:br/>
      </w:r>
      <w:r>
        <w:t xml:space="preserve">Signora Elena Marchetti</w:t>
      </w:r>
      <w:r>
        <w:br/>
      </w:r>
      <w:r>
        <w:t xml:space="preserve">Art Gallery &amp; Cultural Foundation</w:t>
      </w:r>
      <w:r>
        <w:br/>
      </w:r>
      <w:r>
        <w:t xml:space="preserve">Date: _______________</w:t>
      </w:r>
    </w:p>
    <w:p>
      <w:pPr>
        <w:pStyle w:val="BodyText"/>
      </w:pPr>
      <w:r>
        <w:t xml:space="preserve">Quotation Estimate Ref: QE-ROME-2025-0847  |  Issued in Rome, Italy  |  Page 1 of 1</w:t>
      </w:r>
    </w:p>
    <w:p>
      <w:pPr>
        <w:pStyle w:val="BodyText"/>
      </w:pPr>
      <w:r>
        <w:t xml:space="preserve">This document constitutes a formal Quotation Estimate for professional Banker services and is not a binding contract until countersigned by both parties. All figures are expressed in Euro (EUR) and subject to the Italian Value Added Tax (IVA) at the standard rate of 22% applicable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Italy Rome</dc:title>
  <dc:creator/>
  <dc:language>en</dc:language>
  <cp:keywords/>
  <dcterms:created xsi:type="dcterms:W3CDTF">2026-10-10T06:28:50Z</dcterms:created>
  <dcterms:modified xsi:type="dcterms:W3CDTF">2026-10-10T06:28:50Z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