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oto-financial-partners-ltd."/>
    <w:p>
      <w:pPr>
        <w:pStyle w:val="Heading1"/>
      </w:pPr>
      <w:r>
        <w:t xml:space="preserve">KYOOTO FINANCIAL PARTNERS LTD.</w:t>
      </w:r>
    </w:p>
    <w:p>
      <w:pPr>
        <w:pStyle w:val="FirstParagraph"/>
      </w:pPr>
      <w:r>
        <w:t xml:space="preserve">12-4 Gion-machi, Higashiyama-ku, Kyoto 605-0073, Japan</w:t>
      </w:r>
      <w:r>
        <w:br/>
      </w:r>
      <w:r>
        <w:t xml:space="preserve">Tel: +81-75-555-0142  |  Email: quotations@kyoto-financial-partners.jp</w:t>
      </w:r>
      <w:r>
        <w:br/>
      </w:r>
      <w:r>
        <w:t xml:space="preserve">Registered in Japan – Corporate No. 6010401088234</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QF-2025-KYO-0487</w:t>
            </w:r>
          </w:p>
        </w:tc>
        <w:tc>
          <w:tcPr/>
          <w:p>
            <w:pPr>
              <w:pStyle w:val="Compact"/>
              <w:jc w:val="right"/>
            </w:pPr>
            <w:r>
              <w:rPr>
                <w:bCs/>
                <w:b/>
              </w:rPr>
              <w:t xml:space="preserve">Date of Issue:</w:t>
            </w:r>
            <w:r>
              <w:t xml:space="preserve"> </w:t>
            </w:r>
            <w:r>
              <w:t xml:space="preserve">14 June 2025</w:t>
            </w:r>
          </w:p>
        </w:tc>
      </w:tr>
      <w:tr>
        <w:tc>
          <w:tcPr/>
          <w:p>
            <w:pPr>
              <w:pStyle w:val="Compact"/>
              <w:jc w:val="left"/>
            </w:pPr>
            <w:r>
              <w:rPr>
                <w:bCs/>
                <w:b/>
              </w:rPr>
              <w:t xml:space="preserve">Validity Period:</w:t>
            </w:r>
            <w:r>
              <w:t xml:space="preserve"> </w:t>
            </w:r>
            <w:r>
              <w:t xml:space="preserve">30 days (until 14 July 2025)</w:t>
            </w:r>
          </w:p>
        </w:tc>
        <w:tc>
          <w:tcPr/>
          <w:p>
            <w:pPr>
              <w:pStyle w:val="Compact"/>
              <w:jc w:val="right"/>
            </w:pPr>
            <w:r>
              <w:rPr>
                <w:bCs/>
                <w:b/>
              </w:rPr>
              <w:t xml:space="preserve">Currency:</w:t>
            </w:r>
            <w:r>
              <w:t xml:space="preserve"> </w:t>
            </w:r>
            <w:r>
              <w:t xml:space="preserve">Japanese Yen (JPY)</w:t>
            </w:r>
          </w:p>
        </w:tc>
      </w:tr>
      <w:tr>
        <w:tc>
          <w:tcPr/>
          <w:p>
            <w:pPr>
              <w:pStyle w:val="Compact"/>
              <w:jc w:val="left"/>
            </w:pPr>
            <w:r>
              <w:rPr>
                <w:bCs/>
                <w:b/>
              </w:rPr>
              <w:t xml:space="preserve">Prepared By:</w:t>
            </w:r>
            <w:r>
              <w:t xml:space="preserve"> </w:t>
            </w:r>
            <w:r>
              <w:t xml:space="preserve">Mr. Kenji Tanaka, Senior Banker &amp; Relationship Director</w:t>
            </w:r>
          </w:p>
        </w:tc>
        <w:tc>
          <w:tcPr/>
          <w:p>
            <w:pPr>
              <w:pStyle w:val="Compact"/>
              <w:jc w:val="right"/>
            </w:pPr>
            <w:r>
              <w:rPr>
                <w:bCs/>
                <w:b/>
              </w:rPr>
              <w:t xml:space="preserve">Department:</w:t>
            </w:r>
            <w:r>
              <w:t xml:space="preserve"> </w:t>
            </w:r>
            <w:r>
              <w:t xml:space="preserve">Corporate &amp; Institutional Banking, Japan Kyoto Branch</w:t>
            </w:r>
          </w:p>
        </w:tc>
      </w:tr>
    </w:tbl>
    <w:bookmarkEnd w:id="21"/>
    <w:bookmarkStart w:id="22" w:name="prepared-for-client"/>
    <w:p>
      <w:pPr>
        <w:pStyle w:val="Heading3"/>
      </w:pPr>
      <w:r>
        <w:t xml:space="preserve">Prepared For (Client)</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Client Name:</w:t>
            </w:r>
            <w:r>
              <w:t xml:space="preserve"> </w:t>
            </w:r>
            <w:r>
              <w:t xml:space="preserve">SAKURA TRADING INTERNATIONAL CO., LTD.</w:t>
            </w:r>
          </w:p>
        </w:tc>
      </w:tr>
      <w:tr>
        <w:tc>
          <w:tcPr/>
          <w:p>
            <w:pPr>
              <w:pStyle w:val="Compact"/>
              <w:jc w:val="left"/>
            </w:pPr>
            <w:r>
              <w:rPr>
                <w:bCs/>
                <w:b/>
              </w:rPr>
              <w:t xml:space="preserve">Address:</w:t>
            </w:r>
            <w:r>
              <w:t xml:space="preserve"> </w:t>
            </w:r>
            <w:r>
              <w:t xml:space="preserve">8-2-1 Karasuma-Oike, Nakagyo-ku, Kyoto 604-8152, Japan</w:t>
            </w:r>
          </w:p>
        </w:tc>
      </w:tr>
      <w:tr>
        <w:tc>
          <w:tcPr/>
          <w:p>
            <w:pPr>
              <w:pStyle w:val="Compact"/>
              <w:jc w:val="left"/>
            </w:pPr>
            <w:r>
              <w:rPr>
                <w:bCs/>
                <w:b/>
              </w:rPr>
              <w:t xml:space="preserve">Attn:</w:t>
            </w:r>
            <w:r>
              <w:t xml:space="preserve"> </w:t>
            </w:r>
            <w:r>
              <w:t xml:space="preserve">Ms. Yuki Morimoto, Chief Financial Officer</w:t>
            </w:r>
          </w:p>
        </w:tc>
      </w:tr>
      <w:tr>
        <w:tc>
          <w:tcPr/>
          <w:p>
            <w:pPr>
              <w:pStyle w:val="Compact"/>
              <w:jc w:val="left"/>
            </w:pPr>
            <w:r>
              <w:rPr>
                <w:bCs/>
                <w:b/>
              </w:rPr>
              <w:t xml:space="preserve">Client Reference No.:</w:t>
            </w:r>
            <w:r>
              <w:t xml:space="preserve"> </w:t>
            </w:r>
            <w:r>
              <w:t xml:space="preserve">STI-2025-0091</w:t>
            </w:r>
          </w:p>
        </w:tc>
      </w:tr>
    </w:tbl>
    <w:bookmarkEnd w:id="22"/>
    <w:bookmarkStart w:id="23" w:name="X3b3d41b9ccf2e16ee900c741eea303f5c44794a"/>
    <w:p>
      <w:pPr>
        <w:pStyle w:val="Heading3"/>
      </w:pPr>
      <w:r>
        <w:t xml:space="preserve">Scope of Services – Dedicated Banker Engagement in Japan Kyoto</w:t>
      </w:r>
    </w:p>
    <w:p>
      <w:pPr>
        <w:pStyle w:val="FirstParagraph"/>
      </w:pPr>
      <w:r>
        <w:t xml:space="preserve">This Quotation Estimate is issued by Kyoto Financial Partners Ltd. to SAKURA TRADING INTERNATIONAL CO., LTD. for the provision of a dedicated</w:t>
      </w:r>
      <w:r>
        <w:t xml:space="preserve"> </w:t>
      </w:r>
      <w:r>
        <w:rPr>
          <w:bCs/>
          <w:b/>
        </w:rPr>
        <w:t xml:space="preserve">Banker</w:t>
      </w:r>
      <w:r>
        <w:t xml:space="preserve"> </w:t>
      </w:r>
      <w:r>
        <w:t xml:space="preserve">engagement and comprehensive corporate banking services to be delivered at our Japan Kyoto branch office. The services outlined below are designed to support the client's ongoing trade finance, treasury management, and corporate account operations within the Kyoto metropolitan area and across the Kansai region of Japan.</w:t>
      </w:r>
    </w:p>
    <w:p>
      <w:pPr>
        <w:pStyle w:val="BodyText"/>
      </w:pPr>
      <w:r>
        <w:t xml:space="preserve">The appointed Banker will serve as the client's primary point of contact for all banking matters, ensuring continuity of service, regulatory compliance under the Financial Services Agency (FSA) of Japan, and alignment with the client's strategic financial objectives. The Banker will operate out of our Japan Kyoto headquarters and will be available for in-person consultations, remote advisory sessions, and on-site visits to the client's premises as required.</w:t>
      </w:r>
    </w:p>
    <w:bookmarkEnd w:id="23"/>
    <w:bookmarkStart w:id="24" w:name="itemized-quotation-estimate-costs-fees"/>
    <w:p>
      <w:pPr>
        <w:pStyle w:val="Heading3"/>
      </w:pPr>
      <w:r>
        <w:t xml:space="preserve">Itemized Quotation Estimate – Costs &amp; Fees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Frequency</w:t>
            </w:r>
          </w:p>
        </w:tc>
        <w:tc>
          <w:tcPr/>
          <w:p>
            <w:pPr>
              <w:pStyle w:val="Compact"/>
              <w:jc w:val="right"/>
            </w:pPr>
            <w:r>
              <w:t xml:space="preserve">Amount (JPY)</w:t>
            </w:r>
          </w:p>
        </w:tc>
      </w:tr>
      <w:tr>
        <w:tc>
          <w:tcPr/>
          <w:p>
            <w:pPr>
              <w:pStyle w:val="Compact"/>
              <w:jc w:val="left"/>
            </w:pPr>
            <w:r>
              <w:t xml:space="preserve">01</w:t>
            </w:r>
          </w:p>
        </w:tc>
        <w:tc>
          <w:tcPr/>
          <w:p>
            <w:pPr>
              <w:pStyle w:val="Compact"/>
              <w:jc w:val="left"/>
            </w:pPr>
            <w:r>
              <w:t xml:space="preserve">Dedicated Banker – Senior Relationship Manager (full-time allocation, Japan Kyoto office)</w:t>
            </w:r>
          </w:p>
        </w:tc>
        <w:tc>
          <w:tcPr/>
          <w:p>
            <w:pPr>
              <w:pStyle w:val="Compact"/>
              <w:jc w:val="center"/>
            </w:pPr>
            <w:r>
              <w:t xml:space="preserve">Monthly</w:t>
            </w:r>
          </w:p>
        </w:tc>
        <w:tc>
          <w:tcPr/>
          <w:p>
            <w:pPr>
              <w:pStyle w:val="Compact"/>
              <w:jc w:val="right"/>
            </w:pPr>
            <w:r>
              <w:t xml:space="preserve">480,000</w:t>
            </w:r>
          </w:p>
        </w:tc>
      </w:tr>
      <w:tr>
        <w:tc>
          <w:tcPr/>
          <w:p>
            <w:pPr>
              <w:pStyle w:val="Compact"/>
              <w:jc w:val="left"/>
            </w:pPr>
            <w:r>
              <w:t xml:space="preserve">02</w:t>
            </w:r>
          </w:p>
        </w:tc>
        <w:tc>
          <w:tcPr/>
          <w:p>
            <w:pPr>
              <w:pStyle w:val="Compact"/>
              <w:jc w:val="left"/>
            </w:pPr>
            <w:r>
              <w:t xml:space="preserve">Corporate Account Maintenance &amp; Transaction Processing (up to 500 transactions/month)</w:t>
            </w:r>
          </w:p>
        </w:tc>
        <w:tc>
          <w:tcPr/>
          <w:p>
            <w:pPr>
              <w:pStyle w:val="Compact"/>
              <w:jc w:val="center"/>
            </w:pPr>
            <w:r>
              <w:t xml:space="preserve">Monthly</w:t>
            </w:r>
          </w:p>
        </w:tc>
        <w:tc>
          <w:tcPr/>
          <w:p>
            <w:pPr>
              <w:pStyle w:val="Compact"/>
              <w:jc w:val="right"/>
            </w:pPr>
            <w:r>
              <w:t xml:space="preserve">120,000</w:t>
            </w:r>
          </w:p>
        </w:tc>
      </w:tr>
      <w:tr>
        <w:tc>
          <w:tcPr/>
          <w:p>
            <w:pPr>
              <w:pStyle w:val="Compact"/>
              <w:jc w:val="left"/>
            </w:pPr>
            <w:r>
              <w:t xml:space="preserve">03</w:t>
            </w:r>
          </w:p>
        </w:tc>
        <w:tc>
          <w:tcPr/>
          <w:p>
            <w:pPr>
              <w:pStyle w:val="Compact"/>
              <w:jc w:val="left"/>
            </w:pPr>
            <w:r>
              <w:t xml:space="preserve">Trade Finance Advisory – Letters of Credit, Guarantees &amp; Documentary Collections (Kansai region operations)</w:t>
            </w:r>
          </w:p>
        </w:tc>
        <w:tc>
          <w:tcPr/>
          <w:p>
            <w:pPr>
              <w:pStyle w:val="Compact"/>
              <w:jc w:val="center"/>
            </w:pPr>
            <w:r>
              <w:t xml:space="preserve">Per Transaction</w:t>
            </w:r>
          </w:p>
        </w:tc>
        <w:tc>
          <w:tcPr/>
          <w:p>
            <w:pPr>
              <w:pStyle w:val="Compact"/>
              <w:jc w:val="right"/>
            </w:pPr>
            <w:r>
              <w:t xml:space="preserve">35,000</w:t>
            </w:r>
          </w:p>
        </w:tc>
      </w:tr>
      <w:tr>
        <w:tc>
          <w:tcPr/>
          <w:p>
            <w:pPr>
              <w:pStyle w:val="Compact"/>
              <w:jc w:val="left"/>
            </w:pPr>
            <w:r>
              <w:t xml:space="preserve">04</w:t>
            </w:r>
          </w:p>
        </w:tc>
        <w:tc>
          <w:tcPr/>
          <w:p>
            <w:pPr>
              <w:pStyle w:val="Compact"/>
              <w:jc w:val="left"/>
            </w:pPr>
            <w:r>
              <w:t xml:space="preserve">Treasury Management &amp; FX Hedging Services (USD/JPY, EUR/JPY, CNY/JPY pairs)</w:t>
            </w:r>
          </w:p>
        </w:tc>
        <w:tc>
          <w:tcPr/>
          <w:p>
            <w:pPr>
              <w:pStyle w:val="Compact"/>
              <w:jc w:val="center"/>
            </w:pPr>
            <w:r>
              <w:t xml:space="preserve">Quarterly</w:t>
            </w:r>
          </w:p>
        </w:tc>
        <w:tc>
          <w:tcPr/>
          <w:p>
            <w:pPr>
              <w:pStyle w:val="Compact"/>
              <w:jc w:val="right"/>
            </w:pPr>
            <w:r>
              <w:t xml:space="preserve">250,000</w:t>
            </w:r>
          </w:p>
        </w:tc>
      </w:tr>
      <w:tr>
        <w:tc>
          <w:tcPr/>
          <w:p>
            <w:pPr>
              <w:pStyle w:val="Compact"/>
              <w:jc w:val="left"/>
            </w:pPr>
            <w:r>
              <w:t xml:space="preserve">05</w:t>
            </w:r>
          </w:p>
        </w:tc>
        <w:tc>
          <w:tcPr/>
          <w:p>
            <w:pPr>
              <w:pStyle w:val="Compact"/>
              <w:jc w:val="left"/>
            </w:pPr>
            <w:r>
              <w:t xml:space="preserve">On-Site Consultation Visits to Client Premises (Japan Kyoto area, up to 4 visits/month)</w:t>
            </w:r>
          </w:p>
        </w:tc>
        <w:tc>
          <w:tcPr/>
          <w:p>
            <w:pPr>
              <w:pStyle w:val="Compact"/>
              <w:jc w:val="center"/>
            </w:pPr>
            <w:r>
              <w:t xml:space="preserve">Monthly</w:t>
            </w:r>
          </w:p>
        </w:tc>
        <w:tc>
          <w:tcPr/>
          <w:p>
            <w:pPr>
              <w:pStyle w:val="Compact"/>
              <w:jc w:val="right"/>
            </w:pPr>
            <w:r>
              <w:t xml:space="preserve">80,000</w:t>
            </w:r>
          </w:p>
        </w:tc>
      </w:tr>
      <w:tr>
        <w:tc>
          <w:tcPr/>
          <w:p>
            <w:pPr>
              <w:pStyle w:val="Compact"/>
              <w:jc w:val="left"/>
            </w:pPr>
            <w:r>
              <w:t xml:space="preserve">06</w:t>
            </w:r>
          </w:p>
        </w:tc>
        <w:tc>
          <w:tcPr/>
          <w:p>
            <w:pPr>
              <w:pStyle w:val="Compact"/>
              <w:jc w:val="left"/>
            </w:pPr>
            <w:r>
              <w:t xml:space="preserve">Regulatory Compliance &amp; AML/KYC Reporting (FSA Japan, BOJ guidelines)</w:t>
            </w:r>
          </w:p>
        </w:tc>
        <w:tc>
          <w:tcPr/>
          <w:p>
            <w:pPr>
              <w:pStyle w:val="Compact"/>
              <w:jc w:val="center"/>
            </w:pPr>
            <w:r>
              <w:t xml:space="preserve">Monthly</w:t>
            </w:r>
          </w:p>
        </w:tc>
        <w:tc>
          <w:tcPr/>
          <w:p>
            <w:pPr>
              <w:pStyle w:val="Compact"/>
              <w:jc w:val="right"/>
            </w:pPr>
            <w:r>
              <w:t xml:space="preserve">95,000</w:t>
            </w:r>
          </w:p>
        </w:tc>
      </w:tr>
      <w:tr>
        <w:tc>
          <w:tcPr/>
          <w:p>
            <w:pPr>
              <w:pStyle w:val="Compact"/>
              <w:jc w:val="left"/>
            </w:pPr>
            <w:r>
              <w:t xml:space="preserve">07</w:t>
            </w:r>
          </w:p>
        </w:tc>
        <w:tc>
          <w:tcPr/>
          <w:p>
            <w:pPr>
              <w:pStyle w:val="Compact"/>
              <w:jc w:val="left"/>
            </w:pPr>
            <w:r>
              <w:t xml:space="preserve">Annual Financial Review &amp; Strategic Banking Plan (conducted by the assigned Banker)</w:t>
            </w:r>
          </w:p>
        </w:tc>
        <w:tc>
          <w:tcPr/>
          <w:p>
            <w:pPr>
              <w:pStyle w:val="Compact"/>
              <w:jc w:val="center"/>
            </w:pPr>
            <w:r>
              <w:t xml:space="preserve">Annual</w:t>
            </w:r>
          </w:p>
        </w:tc>
        <w:tc>
          <w:tcPr/>
          <w:p>
            <w:pPr>
              <w:pStyle w:val="Compact"/>
              <w:jc w:val="right"/>
            </w:pPr>
            <w:r>
              <w:t xml:space="preserve">350,000</w:t>
            </w:r>
          </w:p>
        </w:tc>
      </w:tr>
      <w:tr>
        <w:tc>
          <w:tcPr/>
          <w:p>
            <w:pPr>
              <w:pStyle w:val="Compact"/>
              <w:jc w:val="left"/>
            </w:pPr>
            <w:r>
              <w:t xml:space="preserve">08</w:t>
            </w:r>
          </w:p>
        </w:tc>
        <w:tc>
          <w:tcPr/>
          <w:p>
            <w:pPr>
              <w:pStyle w:val="Compact"/>
              <w:jc w:val="left"/>
            </w:pPr>
            <w:r>
              <w:t xml:space="preserve">Emergency Banking Support &amp; After-Hours Advisory (24/7 hotline, Japan Kyoto coverage)</w:t>
            </w:r>
          </w:p>
        </w:tc>
        <w:tc>
          <w:tcPr/>
          <w:p>
            <w:pPr>
              <w:pStyle w:val="Compact"/>
              <w:jc w:val="center"/>
            </w:pPr>
            <w:r>
              <w:t xml:space="preserve">Monthly</w:t>
            </w:r>
          </w:p>
        </w:tc>
        <w:tc>
          <w:tcPr/>
          <w:p>
            <w:pPr>
              <w:pStyle w:val="Compact"/>
              <w:jc w:val="right"/>
            </w:pPr>
            <w:r>
              <w:t xml:space="preserve">60,000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Recurring):</w:t>
            </w:r>
          </w:p>
        </w:tc>
        <w:tc>
          <w:tcPr/>
          <w:p>
            <w:pPr>
              <w:pStyle w:val="Compact"/>
              <w:jc w:val="right"/>
            </w:pPr>
            <w:r>
              <w:t xml:space="preserve">1,035,000 JPY</w:t>
            </w:r>
          </w:p>
        </w:tc>
      </w:tr>
      <w:tr>
        <w:tc>
          <w:tcPr/>
          <w:p>
            <w:pPr>
              <w:pStyle w:val="Compact"/>
              <w:jc w:val="left"/>
            </w:pPr>
            <w:r>
              <w:t xml:space="preserve">Quarterly Treasury Management:</w:t>
            </w:r>
          </w:p>
        </w:tc>
        <w:tc>
          <w:tcPr/>
          <w:p>
            <w:pPr>
              <w:pStyle w:val="Compact"/>
              <w:jc w:val="right"/>
            </w:pPr>
            <w:r>
              <w:t xml:space="preserve">250,000 JPY</w:t>
            </w:r>
          </w:p>
        </w:tc>
      </w:tr>
      <w:tr>
        <w:tc>
          <w:tcPr/>
          <w:p>
            <w:pPr>
              <w:pStyle w:val="Compact"/>
              <w:jc w:val="left"/>
            </w:pPr>
            <w:r>
              <w:t xml:space="preserve">Annual Financial Review:</w:t>
            </w:r>
          </w:p>
        </w:tc>
        <w:tc>
          <w:tcPr/>
          <w:p>
            <w:pPr>
              <w:pStyle w:val="Compact"/>
              <w:jc w:val="right"/>
            </w:pPr>
            <w:r>
              <w:t xml:space="preserve">350,000 JPY</w:t>
            </w:r>
          </w:p>
        </w:tc>
      </w:tr>
      <w:tr>
        <w:tc>
          <w:tcPr/>
          <w:p>
            <w:pPr>
              <w:pStyle w:val="Compact"/>
              <w:jc w:val="left"/>
            </w:pPr>
            <w:r>
              <w:t xml:space="preserve">Per-Transaction Trade Finance (est. 12/yr):</w:t>
            </w:r>
          </w:p>
        </w:tc>
        <w:tc>
          <w:tcPr/>
          <w:p>
            <w:pPr>
              <w:pStyle w:val="Compact"/>
              <w:jc w:val="right"/>
            </w:pPr>
            <w:r>
              <w:t xml:space="preserve">420,000 JPY</w:t>
            </w:r>
          </w:p>
        </w:tc>
      </w:tr>
      <w:tr>
        <w:tc>
          <w:tcPr/>
          <w:p>
            <w:pPr>
              <w:pStyle w:val="Compact"/>
              <w:jc w:val="left"/>
            </w:pPr>
            <w:r>
              <w:t xml:space="preserve">TOTAL ESTIMATED ANNUAL COST:</w:t>
            </w:r>
          </w:p>
        </w:tc>
        <w:tc>
          <w:tcPr/>
          <w:p>
            <w:pPr>
              <w:pStyle w:val="Compact"/>
              <w:jc w:val="right"/>
            </w:pPr>
            <w:r>
              <w:t xml:space="preserve">16,730,000 JPY</w:t>
            </w:r>
          </w:p>
        </w:tc>
      </w:tr>
    </w:tbl>
    <w:p>
      <w:pPr>
        <w:pStyle w:val="BodyText"/>
      </w:pPr>
      <w:r>
        <w:t xml:space="preserve">* All amounts are exclusive of 10% Consumption Tax (JCT) as mandated by the National Tax Agency of Japan. Trade finance fees are estimates based on projected volume; actual charges will vary per transaction.</w:t>
      </w:r>
    </w:p>
    <w:bookmarkEnd w:id="24"/>
    <w:bookmarkStart w:id="25" w:name="terms-conditions"/>
    <w:p>
      <w:pPr>
        <w:pStyle w:val="Heading3"/>
      </w:pPr>
      <w:r>
        <w:t xml:space="preserve">Terms &amp; Conditions</w:t>
      </w:r>
    </w:p>
    <w:p>
      <w:pPr>
        <w:numPr>
          <w:ilvl w:val="0"/>
          <w:numId w:val="1001"/>
        </w:numPr>
        <w:pStyle w:val="Compact"/>
      </w:pPr>
      <w:r>
        <w:t xml:space="preserve">This Quotation Estimate is valid for thirty (30) calendar days from the date of issue. Upon expiry, all rates and fee structures are subject to revision based on prevailing market conditions in Japan Kyoto and broader Japanese financial markets.</w:t>
      </w:r>
    </w:p>
    <w:p>
      <w:pPr>
        <w:numPr>
          <w:ilvl w:val="0"/>
          <w:numId w:val="1001"/>
        </w:numPr>
        <w:pStyle w:val="Compact"/>
      </w:pPr>
      <w:r>
        <w:t xml:space="preserve">The dedicated Banker engagement is subject to a minimum contract term of twelve (12) months. Early termination may incur a penalty equivalent to three months of the Banker's monthly fee.</w:t>
      </w:r>
    </w:p>
    <w:p>
      <w:pPr>
        <w:numPr>
          <w:ilvl w:val="0"/>
          <w:numId w:val="1001"/>
        </w:numPr>
        <w:pStyle w:val="Compact"/>
      </w:pPr>
      <w:r>
        <w:t xml:space="preserve">All services shall be performed in accordance with the Banking Act of Japan, the Financial Instruments and Exchange Act, and applicable regulations issued by the Financial Services Agency (FSA) and the Bank of Japan (BOJ).</w:t>
      </w:r>
    </w:p>
    <w:p>
      <w:pPr>
        <w:numPr>
          <w:ilvl w:val="0"/>
          <w:numId w:val="1001"/>
        </w:numPr>
        <w:pStyle w:val="Compact"/>
      </w:pPr>
      <w:r>
        <w:t xml:space="preserve">Payment terms: Net 30 days from the date of invoice. Invoices will be issued monthly for recurring fees and per-transaction for trade finance items. Payment shall be made via bank transfer to the Japan Kyoto branch account.</w:t>
      </w:r>
    </w:p>
    <w:p>
      <w:pPr>
        <w:numPr>
          <w:ilvl w:val="0"/>
          <w:numId w:val="1001"/>
        </w:numPr>
        <w:pStyle w:val="Compact"/>
      </w:pPr>
      <w:r>
        <w:t xml:space="preserve">The Banker shall maintain strict confidentiality of all client financial data in compliance with Japan's Act on the Protection of Personal Information (APPI) and the bank's internal data governance policies.</w:t>
      </w:r>
    </w:p>
    <w:p>
      <w:pPr>
        <w:numPr>
          <w:ilvl w:val="0"/>
          <w:numId w:val="1001"/>
        </w:numPr>
        <w:pStyle w:val="Compact"/>
      </w:pPr>
      <w:r>
        <w:t xml:space="preserve">This Quotation Estimate does not constitute a binding contract until countersigned by both parties and the requisite corporate banking agreements are executed at our Japan Kyoto branch.</w:t>
      </w:r>
    </w:p>
    <w:p>
      <w:pPr>
        <w:numPr>
          <w:ilvl w:val="0"/>
          <w:numId w:val="1001"/>
        </w:numPr>
        <w:pStyle w:val="Compact"/>
      </w:pPr>
      <w:r>
        <w:t xml:space="preserve">Force majeure events, including but not limited to natural disasters affecting the Kyoto region, may temporarily suspend service delivery without penalty to either party.</w:t>
      </w:r>
    </w:p>
    <w:bookmarkEnd w:id="25"/>
    <w:bookmarkStart w:id="26" w:name="acceptance-authorization"/>
    <w:p>
      <w:pPr>
        <w:pStyle w:val="Heading3"/>
      </w:pPr>
      <w:r>
        <w:t xml:space="preserve">Acceptance &amp; Authorization</w:t>
      </w:r>
    </w:p>
    <w:p>
      <w:pPr>
        <w:pStyle w:val="FirstParagraph"/>
      </w:pPr>
      <w:r>
        <w:t xml:space="preserve">By signing below, the client acknowledges receipt of this Quotation Estimate and agrees to the terms, conditions, and fee structures outlined herein for the dedicated Banker engagement and associated banking services to be provided in Japan Kyoto.</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Kyoto Financial Partners Ltd. (Provider)</w:t>
            </w:r>
          </w:p>
          <w:p>
            <w:pPr>
              <w:jc w:val="left"/>
            </w:pPr>
            <w:r>
              <w:t xml:space="preserve">Name: Kenji Tanaka</w:t>
            </w:r>
            <w:r>
              <w:br/>
            </w:r>
            <w:r>
              <w:t xml:space="preserve">Title: Senior Banker &amp; Relationship Director</w:t>
            </w:r>
            <w:r>
              <w:br/>
            </w:r>
            <w:r>
              <w:t xml:space="preserve">Signature: _________________________</w:t>
            </w:r>
            <w:r>
              <w:br/>
            </w:r>
            <w:r>
              <w:t xml:space="preserve">Date: _________________________</w:t>
            </w:r>
          </w:p>
        </w:tc>
        <w:tc>
          <w:tcPr/>
          <w:p>
            <w:pPr>
              <w:jc w:val="left"/>
            </w:pPr>
            <w:r>
              <w:rPr>
                <w:bCs/>
                <w:b/>
              </w:rPr>
              <w:t xml:space="preserve">For SAKURA TRADING INTERNATIONAL CO., LTD. (Client)</w:t>
            </w:r>
          </w:p>
          <w:p>
            <w:pPr>
              <w:jc w:val="left"/>
            </w:pPr>
            <w:r>
              <w:t xml:space="preserve">Name: Yuki Morimoto</w:t>
            </w:r>
            <w:r>
              <w:br/>
            </w:r>
            <w:r>
              <w:t xml:space="preserve">Title: Chief Financial Officer</w:t>
            </w:r>
            <w:r>
              <w:br/>
            </w:r>
            <w:r>
              <w:t xml:space="preserve">Signature: _________________________</w:t>
            </w:r>
            <w:r>
              <w:br/>
            </w:r>
            <w:r>
              <w:t xml:space="preserve">Date: _________________________</w:t>
            </w:r>
          </w:p>
        </w:tc>
      </w:tr>
    </w:tbl>
    <w:bookmarkEnd w:id="26"/>
    <w:p>
      <w:pPr>
        <w:pStyle w:val="BodyText"/>
      </w:pPr>
      <w:r>
        <w:t xml:space="preserve">Quotation Estimate QF-2025-KYO-0487 | Kyoto Financial Partners Ltd. | Japan Kyoto Branch</w:t>
      </w:r>
      <w:r>
        <w:br/>
      </w:r>
      <w:r>
        <w:t xml:space="preserve">This document is confidential and intended solely for the named recipient. Unauthorized reproduction or distribution is prohibited under Japanese law.</w:t>
      </w:r>
      <w:r>
        <w:br/>
      </w:r>
      <w:r>
        <w:t xml:space="preserve">© 2025 Kyoto Financial Partners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Japan Kyoto</dc:title>
  <dc:creator/>
  <dc:language>en</dc:language>
  <cp:keywords/>
  <dcterms:created xsi:type="dcterms:W3CDTF">2026-10-10T06:21:02Z</dcterms:created>
  <dcterms:modified xsi:type="dcterms:W3CDTF">2026-10-10T06:21:02Z</dcterms:modified>
</cp:coreProperties>
</file>

<file path=docProps/custom.xml><?xml version="1.0" encoding="utf-8"?>
<Properties xmlns="http://schemas.openxmlformats.org/officeDocument/2006/custom-properties" xmlns:vt="http://schemas.openxmlformats.org/officeDocument/2006/docPropsVTypes"/>
</file>