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Japan</w:t>
      </w:r>
      <w:r>
        <w:t xml:space="preserve"> </w:t>
      </w:r>
      <w:r>
        <w:t xml:space="preserve">Osaka</w:t>
      </w:r>
    </w:p>
    <w:bookmarkStart w:id="30" w:name="quotation-estimate"/>
    <w:p>
      <w:pPr>
        <w:pStyle w:val="Heading1"/>
      </w:pPr>
      <w:r>
        <w:t xml:space="preserve">QUOTATION ESTIMATE</w:t>
      </w:r>
    </w:p>
    <w:p>
      <w:pPr>
        <w:pStyle w:val="FirstParagraph"/>
      </w:pPr>
      <w:r>
        <w:t xml:space="preserve">Banker Services &amp; Financial Infrastructure Deployment</w:t>
      </w:r>
      <w:r>
        <w:br/>
      </w:r>
      <w:r>
        <w:t xml:space="preserve">Japan Osaka Region</w:t>
      </w:r>
    </w:p>
    <w:p>
      <w:pPr>
        <w:pStyle w:val="BodyText"/>
      </w:pPr>
      <w:r>
        <w:rPr>
          <w:bCs/>
          <w:b/>
        </w:rPr>
        <w:t xml:space="preserve">Document Reference:</w:t>
      </w:r>
      <w:r>
        <w:t xml:space="preserve"> </w:t>
      </w:r>
      <w:r>
        <w:t xml:space="preserve">QE-2025-OSK-0472  | </w:t>
      </w:r>
      <w:r>
        <w:t xml:space="preserve"> </w:t>
      </w:r>
      <w:r>
        <w:rPr>
          <w:bCs/>
          <w:b/>
        </w:rPr>
        <w:t xml:space="preserve">Date of Issue:</w:t>
      </w:r>
      <w:r>
        <w:t xml:space="preserve"> </w:t>
      </w:r>
      <w:r>
        <w:t xml:space="preserve">14 June 2025  | </w:t>
      </w:r>
      <w:r>
        <w:t xml:space="preserve"> </w:t>
      </w:r>
      <w:r>
        <w:rPr>
          <w:bCs/>
          <w:b/>
        </w:rPr>
        <w:t xml:space="preserve">Validity Period:</w:t>
      </w:r>
      <w:r>
        <w:t xml:space="preserve"> </w:t>
      </w:r>
      <w:r>
        <w:t xml:space="preserve">90 days from date of issue</w:t>
      </w:r>
    </w:p>
    <w:p>
      <w:pPr>
        <w:pStyle w:val="BodyText"/>
      </w:pPr>
      <w:r>
        <w:rPr>
          <w:bCs/>
          <w:b/>
        </w:rPr>
        <w:t xml:space="preserve">Prepared For:</w:t>
      </w:r>
      <w:r>
        <w:t xml:space="preserve"> </w:t>
      </w:r>
      <w:r>
        <w:t xml:space="preserve">Kansai Regional Financial Operations Division, Osaka, Japan</w:t>
      </w:r>
    </w:p>
    <w:p>
      <w:pPr>
        <w:pStyle w:val="BodyText"/>
      </w:pPr>
      <w:r>
        <w:rPr>
          <w:bCs/>
          <w:b/>
        </w:rPr>
        <w:t xml:space="preserve">Prepared By:</w:t>
      </w:r>
      <w:r>
        <w:t xml:space="preserve"> </w:t>
      </w:r>
      <w:r>
        <w:t xml:space="preserve">Meridian Global Banking Solutions Ltd., London, United Kingdom</w:t>
      </w:r>
    </w:p>
    <w:bookmarkStart w:id="20" w:name="executive-summary"/>
    <w:p>
      <w:pPr>
        <w:pStyle w:val="Heading2"/>
      </w:pPr>
      <w:r>
        <w:t xml:space="preserve">1. Executive Summary</w:t>
      </w:r>
    </w:p>
    <w:p>
      <w:pPr>
        <w:pStyle w:val="FirstParagraph"/>
      </w:pPr>
      <w:r>
        <w:t xml:space="preserve">This Quotation Estimate is issued by Meridian Global Banking Solutions Ltd. (hereinafter referred to as "the Provider") in response to the formal request for proposal received from the Kansai Regional Financial Operations Division (hereinafter referred to as "the Client") for the supply, installation, and ongoing maintenance of a comprehensive</w:t>
      </w:r>
      <w:r>
        <w:t xml:space="preserve"> </w:t>
      </w:r>
      <w:r>
        <w:rPr>
          <w:bCs/>
          <w:b/>
        </w:rPr>
        <w:t xml:space="preserve">Banker</w:t>
      </w:r>
      <w:r>
        <w:t xml:space="preserve"> </w:t>
      </w:r>
      <w:r>
        <w:t xml:space="preserve">platform and associated professional services to be deployed and operated within the</w:t>
      </w:r>
      <w:r>
        <w:t xml:space="preserve"> </w:t>
      </w:r>
      <w:r>
        <w:rPr>
          <w:bCs/>
          <w:b/>
        </w:rPr>
        <w:t xml:space="preserve">Japan Osaka</w:t>
      </w:r>
      <w:r>
        <w:t xml:space="preserve"> </w:t>
      </w:r>
      <w:r>
        <w:t xml:space="preserve">metropolitan area. This document constitutes a binding Quotation Estimate for all items, services, and terms outlined herein, subject to the conditions specified in Section 9.</w:t>
      </w:r>
    </w:p>
    <w:bookmarkEnd w:id="20"/>
    <w:bookmarkStart w:id="21" w:name="X369565e5ced13d08c2682cec154cca703af0776"/>
    <w:p>
      <w:pPr>
        <w:pStyle w:val="Heading2"/>
      </w:pPr>
      <w:r>
        <w:t xml:space="preserve">2. Scope of Work – Banker Platform Deployment in Japan Osaka</w:t>
      </w:r>
    </w:p>
    <w:p>
      <w:pPr>
        <w:pStyle w:val="FirstParagraph"/>
      </w:pPr>
      <w:r>
        <w:t xml:space="preserve">The Provider shall deliver a fully integrated</w:t>
      </w:r>
      <w:r>
        <w:t xml:space="preserve"> </w:t>
      </w:r>
      <w:r>
        <w:rPr>
          <w:bCs/>
          <w:b/>
        </w:rPr>
        <w:t xml:space="preserve">Banker</w:t>
      </w:r>
      <w:r>
        <w:t xml:space="preserve"> </w:t>
      </w:r>
      <w:r>
        <w:t xml:space="preserve">system encompassing core banking operations, transaction processing, compliance monitoring, and client relationship management modules. The Banker platform is specifically configured to meet the regulatory requirements of the Financial Services Agency (FSA) of Japan and the Bank of Japan, ensuring full operational compliance for all banking activities conducted within the</w:t>
      </w:r>
      <w:r>
        <w:t xml:space="preserve"> </w:t>
      </w:r>
      <w:r>
        <w:rPr>
          <w:bCs/>
          <w:b/>
        </w:rPr>
        <w:t xml:space="preserve">Japan Osaka</w:t>
      </w:r>
      <w:r>
        <w:t xml:space="preserve"> </w:t>
      </w:r>
      <w:r>
        <w:t xml:space="preserve">jurisdiction.</w:t>
      </w:r>
    </w:p>
    <w:p>
      <w:pPr>
        <w:pStyle w:val="BodyText"/>
      </w:pPr>
      <w:r>
        <w:t xml:space="preserve">The deployment scope includes the following key deliverables:</w:t>
      </w:r>
    </w:p>
    <w:p>
      <w:pPr>
        <w:numPr>
          <w:ilvl w:val="0"/>
          <w:numId w:val="1001"/>
        </w:numPr>
        <w:pStyle w:val="Compact"/>
      </w:pPr>
      <w:r>
        <w:t xml:space="preserve">Installation and configuration of the primary</w:t>
      </w:r>
      <w:r>
        <w:t xml:space="preserve"> </w:t>
      </w:r>
      <w:r>
        <w:rPr>
          <w:bCs/>
          <w:b/>
        </w:rPr>
        <w:t xml:space="preserve">Banker</w:t>
      </w:r>
      <w:r>
        <w:t xml:space="preserve"> </w:t>
      </w:r>
      <w:r>
        <w:t xml:space="preserve">server infrastructure at the Client's designated facility in Umeda, Osaka City.</w:t>
      </w:r>
    </w:p>
    <w:p>
      <w:pPr>
        <w:numPr>
          <w:ilvl w:val="0"/>
          <w:numId w:val="1001"/>
        </w:numPr>
        <w:pStyle w:val="Compact"/>
      </w:pPr>
      <w:r>
        <w:t xml:space="preserve">Integration of the Banker platform with existing regional banking networks across the Kansai region, including Kobe and Kyoto branch nodes.</w:t>
      </w:r>
    </w:p>
    <w:p>
      <w:pPr>
        <w:numPr>
          <w:ilvl w:val="0"/>
          <w:numId w:val="1001"/>
        </w:numPr>
        <w:pStyle w:val="Compact"/>
      </w:pPr>
      <w:r>
        <w:t xml:space="preserve">Provision of dedicated</w:t>
      </w:r>
      <w:r>
        <w:t xml:space="preserve"> </w:t>
      </w:r>
      <w:r>
        <w:rPr>
          <w:bCs/>
          <w:b/>
        </w:rPr>
        <w:t xml:space="preserve">Banker</w:t>
      </w:r>
      <w:r>
        <w:t xml:space="preserve"> </w:t>
      </w:r>
      <w:r>
        <w:t xml:space="preserve">professional consultants (minimum of four (4) senior banking officers) to be stationed in Japan Osaka for a period of twelve (12) months to oversee system adoption, staff training, and operational transition.</w:t>
      </w:r>
    </w:p>
    <w:p>
      <w:pPr>
        <w:numPr>
          <w:ilvl w:val="0"/>
          <w:numId w:val="1001"/>
        </w:numPr>
        <w:pStyle w:val="Compact"/>
      </w:pPr>
      <w:r>
        <w:t xml:space="preserve">End-to-end cybersecurity hardening of the Banker environment in accordance with Japan's Act on the Protection of Personal Information (APPI) and ISO 27001 standards.</w:t>
      </w:r>
    </w:p>
    <w:p>
      <w:pPr>
        <w:numPr>
          <w:ilvl w:val="0"/>
          <w:numId w:val="1001"/>
        </w:numPr>
        <w:pStyle w:val="Compact"/>
      </w:pPr>
      <w:r>
        <w:t xml:space="preserve">Continuous technical support and maintenance of the Banker system for a period of thirty-six (36) months following initial deployment.</w:t>
      </w:r>
    </w:p>
    <w:bookmarkEnd w:id="21"/>
    <w:bookmarkStart w:id="22"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Banker Core Banking Platform – License &amp; Software Suite (perpetual license, Japan Osaka edition)</w:t>
            </w:r>
          </w:p>
        </w:tc>
        <w:tc>
          <w:tcPr/>
          <w:p>
            <w:pPr>
              <w:pStyle w:val="Compact"/>
              <w:jc w:val="left"/>
            </w:pPr>
            <w:r>
              <w:t xml:space="preserve">1 set</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Umeda, Osaka</w:t>
            </w:r>
          </w:p>
        </w:tc>
      </w:tr>
      <w:tr>
        <w:tc>
          <w:tcPr/>
          <w:p>
            <w:pPr>
              <w:pStyle w:val="Compact"/>
              <w:jc w:val="left"/>
            </w:pPr>
            <w:r>
              <w:t xml:space="preserve">2</w:t>
            </w:r>
          </w:p>
        </w:tc>
        <w:tc>
          <w:tcPr/>
          <w:p>
            <w:pPr>
              <w:pStyle w:val="Compact"/>
              <w:jc w:val="left"/>
            </w:pPr>
            <w:r>
              <w:t xml:space="preserve">Banker Transaction Processing Module (high-frequency, multi-currency: JPY, USD, EUR)</w:t>
            </w:r>
          </w:p>
        </w:tc>
        <w:tc>
          <w:tcPr/>
          <w:p>
            <w:pPr>
              <w:pStyle w:val="Compact"/>
              <w:jc w:val="left"/>
            </w:pPr>
            <w:r>
              <w:t xml:space="preserve">1 set</w:t>
            </w:r>
          </w:p>
        </w:tc>
        <w:tc>
          <w:tcPr/>
          <w:p>
            <w:pPr>
              <w:pStyle w:val="Compact"/>
              <w:jc w:val="left"/>
            </w:pPr>
            <w:r>
              <w:t xml:space="preserve">212,500.00</w:t>
            </w:r>
          </w:p>
        </w:tc>
        <w:tc>
          <w:tcPr/>
          <w:p>
            <w:pPr>
              <w:pStyle w:val="Compact"/>
              <w:jc w:val="left"/>
            </w:pPr>
            <w:r>
              <w:t xml:space="preserve">212,500.00</w:t>
            </w:r>
          </w:p>
        </w:tc>
        <w:tc>
          <w:tcPr/>
          <w:p>
            <w:pPr>
              <w:pStyle w:val="Compact"/>
              <w:jc w:val="left"/>
            </w:pPr>
            <w:r>
              <w:t xml:space="preserve">Umeda, Osaka</w:t>
            </w:r>
          </w:p>
        </w:tc>
      </w:tr>
      <w:tr>
        <w:tc>
          <w:tcPr/>
          <w:p>
            <w:pPr>
              <w:pStyle w:val="Compact"/>
              <w:jc w:val="left"/>
            </w:pPr>
            <w:r>
              <w:t xml:space="preserve">3</w:t>
            </w:r>
          </w:p>
        </w:tc>
        <w:tc>
          <w:tcPr/>
          <w:p>
            <w:pPr>
              <w:pStyle w:val="Compact"/>
              <w:jc w:val="left"/>
            </w:pPr>
            <w:r>
              <w:t xml:space="preserve">Banker Compliance &amp; AML Monitoring Module (FSA Japan regulatory alignment)</w:t>
            </w:r>
          </w:p>
        </w:tc>
        <w:tc>
          <w:tcPr/>
          <w:p>
            <w:pPr>
              <w:pStyle w:val="Compact"/>
              <w:jc w:val="left"/>
            </w:pPr>
            <w:r>
              <w:t xml:space="preserve">1 set</w:t>
            </w:r>
          </w:p>
        </w:tc>
        <w:tc>
          <w:tcPr/>
          <w:p>
            <w:pPr>
              <w:pStyle w:val="Compact"/>
              <w:jc w:val="left"/>
            </w:pPr>
            <w:r>
              <w:t xml:space="preserve">178,000.00</w:t>
            </w:r>
          </w:p>
        </w:tc>
        <w:tc>
          <w:tcPr/>
          <w:p>
            <w:pPr>
              <w:pStyle w:val="Compact"/>
              <w:jc w:val="left"/>
            </w:pPr>
            <w:r>
              <w:t xml:space="preserve">178,000.00</w:t>
            </w:r>
          </w:p>
        </w:tc>
        <w:tc>
          <w:tcPr/>
          <w:p>
            <w:pPr>
              <w:pStyle w:val="Compact"/>
              <w:jc w:val="left"/>
            </w:pPr>
            <w:r>
              <w:t xml:space="preserve">Umeda, Osaka</w:t>
            </w:r>
          </w:p>
        </w:tc>
      </w:tr>
      <w:tr>
        <w:tc>
          <w:tcPr/>
          <w:p>
            <w:pPr>
              <w:pStyle w:val="Compact"/>
              <w:jc w:val="left"/>
            </w:pPr>
            <w:r>
              <w:t xml:space="preserve">4</w:t>
            </w:r>
          </w:p>
        </w:tc>
        <w:tc>
          <w:tcPr/>
          <w:p>
            <w:pPr>
              <w:pStyle w:val="Compact"/>
              <w:jc w:val="left"/>
            </w:pPr>
            <w:r>
              <w:t xml:space="preserve">Banker Client Relationship Management (CRM) Module</w:t>
            </w:r>
          </w:p>
        </w:tc>
        <w:tc>
          <w:tcPr/>
          <w:p>
            <w:pPr>
              <w:pStyle w:val="Compact"/>
              <w:jc w:val="left"/>
            </w:pPr>
            <w:r>
              <w:t xml:space="preserve">1 set</w:t>
            </w:r>
          </w:p>
        </w:tc>
        <w:tc>
          <w:tcPr/>
          <w:p>
            <w:pPr>
              <w:pStyle w:val="Compact"/>
              <w:jc w:val="left"/>
            </w:pPr>
            <w:r>
              <w:t xml:space="preserve">96,500.00</w:t>
            </w:r>
          </w:p>
        </w:tc>
        <w:tc>
          <w:tcPr/>
          <w:p>
            <w:pPr>
              <w:pStyle w:val="Compact"/>
              <w:jc w:val="left"/>
            </w:pPr>
            <w:r>
              <w:t xml:space="preserve">96,500.00</w:t>
            </w:r>
          </w:p>
        </w:tc>
        <w:tc>
          <w:tcPr/>
          <w:p>
            <w:pPr>
              <w:pStyle w:val="Compact"/>
              <w:jc w:val="left"/>
            </w:pPr>
            <w:r>
              <w:t xml:space="preserve">Umeda, Osaka</w:t>
            </w:r>
          </w:p>
        </w:tc>
      </w:tr>
      <w:tr>
        <w:tc>
          <w:tcPr/>
          <w:p>
            <w:pPr>
              <w:pStyle w:val="Compact"/>
              <w:jc w:val="left"/>
            </w:pPr>
            <w:r>
              <w:t xml:space="preserve">5</w:t>
            </w:r>
          </w:p>
        </w:tc>
        <w:tc>
          <w:tcPr/>
          <w:p>
            <w:pPr>
              <w:pStyle w:val="Compact"/>
              <w:jc w:val="left"/>
            </w:pPr>
            <w:r>
              <w:t xml:space="preserve">Senior Banker Professional Consultants – On-site deployment in Japan Osaka (12-month engagement, 4 officers)</w:t>
            </w:r>
          </w:p>
        </w:tc>
        <w:tc>
          <w:tcPr/>
          <w:p>
            <w:pPr>
              <w:pStyle w:val="Compact"/>
              <w:jc w:val="left"/>
            </w:pPr>
            <w:r>
              <w:t xml:space="preserve">4 FTE</w:t>
            </w:r>
          </w:p>
        </w:tc>
        <w:tc>
          <w:tcPr/>
          <w:p>
            <w:pPr>
              <w:pStyle w:val="Compact"/>
              <w:jc w:val="left"/>
            </w:pPr>
            <w:r>
              <w:t xml:space="preserve">148,000.00</w:t>
            </w:r>
          </w:p>
        </w:tc>
        <w:tc>
          <w:tcPr/>
          <w:p>
            <w:pPr>
              <w:pStyle w:val="Compact"/>
              <w:jc w:val="left"/>
            </w:pPr>
            <w:r>
              <w:t xml:space="preserve">592,000.00</w:t>
            </w:r>
          </w:p>
        </w:tc>
        <w:tc>
          <w:tcPr/>
          <w:p>
            <w:pPr>
              <w:pStyle w:val="Compact"/>
              <w:jc w:val="left"/>
            </w:pPr>
            <w:r>
              <w:t xml:space="preserve">Osaka, Japan</w:t>
            </w:r>
          </w:p>
        </w:tc>
      </w:tr>
      <w:tr>
        <w:tc>
          <w:tcPr/>
          <w:p>
            <w:pPr>
              <w:pStyle w:val="Compact"/>
              <w:jc w:val="left"/>
            </w:pPr>
            <w:r>
              <w:t xml:space="preserve">6</w:t>
            </w:r>
          </w:p>
        </w:tc>
        <w:tc>
          <w:tcPr/>
          <w:p>
            <w:pPr>
              <w:pStyle w:val="Compact"/>
              <w:jc w:val="left"/>
            </w:pPr>
            <w:r>
              <w:t xml:space="preserve">Banker System Installation, Configuration &amp; Integration Services (Japan Osaka site)</w:t>
            </w:r>
          </w:p>
        </w:tc>
        <w:tc>
          <w:tcPr/>
          <w:p>
            <w:pPr>
              <w:pStyle w:val="Compact"/>
              <w:jc w:val="left"/>
            </w:pPr>
            <w:r>
              <w:t xml:space="preserve">1 lot</w:t>
            </w:r>
          </w:p>
        </w:tc>
        <w:tc>
          <w:tcPr/>
          <w:p>
            <w:pPr>
              <w:pStyle w:val="Compact"/>
              <w:jc w:val="left"/>
            </w:pPr>
            <w:r>
              <w:t xml:space="preserve">134,000.00</w:t>
            </w:r>
          </w:p>
        </w:tc>
        <w:tc>
          <w:tcPr/>
          <w:p>
            <w:pPr>
              <w:pStyle w:val="Compact"/>
              <w:jc w:val="left"/>
            </w:pPr>
            <w:r>
              <w:t xml:space="preserve">134,000.00</w:t>
            </w:r>
          </w:p>
        </w:tc>
        <w:tc>
          <w:tcPr/>
          <w:p>
            <w:pPr>
              <w:pStyle w:val="Compact"/>
              <w:jc w:val="left"/>
            </w:pPr>
            <w:r>
              <w:t xml:space="preserve">Umeda, Osaka</w:t>
            </w:r>
          </w:p>
        </w:tc>
      </w:tr>
      <w:tr>
        <w:tc>
          <w:tcPr/>
          <w:p>
            <w:pPr>
              <w:pStyle w:val="Compact"/>
              <w:jc w:val="left"/>
            </w:pPr>
            <w:r>
              <w:t xml:space="preserve">7</w:t>
            </w:r>
          </w:p>
        </w:tc>
        <w:tc>
          <w:tcPr/>
          <w:p>
            <w:pPr>
              <w:pStyle w:val="Compact"/>
              <w:jc w:val="left"/>
            </w:pPr>
            <w:r>
              <w:t xml:space="preserve">Banker Platform Cybersecurity Audit &amp; Hardening (APPI / ISO 27001 compliance)</w:t>
            </w:r>
          </w:p>
        </w:tc>
        <w:tc>
          <w:tcPr/>
          <w:p>
            <w:pPr>
              <w:pStyle w:val="Compact"/>
              <w:jc w:val="left"/>
            </w:pPr>
            <w:r>
              <w:t xml:space="preserve">1 lot</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Osaka, Japan</w:t>
            </w:r>
          </w:p>
        </w:tc>
      </w:tr>
      <w:tr>
        <w:tc>
          <w:tcPr/>
          <w:p>
            <w:pPr>
              <w:pStyle w:val="Compact"/>
              <w:jc w:val="left"/>
            </w:pPr>
            <w:r>
              <w:t xml:space="preserve">8</w:t>
            </w:r>
          </w:p>
        </w:tc>
        <w:tc>
          <w:tcPr/>
          <w:p>
            <w:pPr>
              <w:pStyle w:val="Compact"/>
              <w:jc w:val="left"/>
            </w:pPr>
            <w:r>
              <w:t xml:space="preserve">Banker System Maintenance &amp; Technical Support (36-month contract, 24/7 SLA)</w:t>
            </w:r>
          </w:p>
        </w:tc>
        <w:tc>
          <w:tcPr/>
          <w:p>
            <w:pPr>
              <w:pStyle w:val="Compact"/>
              <w:jc w:val="left"/>
            </w:pPr>
            <w:r>
              <w:t xml:space="preserve">3 years</w:t>
            </w:r>
          </w:p>
        </w:tc>
        <w:tc>
          <w:tcPr/>
          <w:p>
            <w:pPr>
              <w:pStyle w:val="Compact"/>
              <w:jc w:val="left"/>
            </w:pPr>
            <w:r>
              <w:t xml:space="preserve">62,000.00</w:t>
            </w:r>
          </w:p>
        </w:tc>
        <w:tc>
          <w:tcPr/>
          <w:p>
            <w:pPr>
              <w:pStyle w:val="Compact"/>
              <w:jc w:val="left"/>
            </w:pPr>
            <w:r>
              <w:t xml:space="preserve">186,000.00</w:t>
            </w:r>
          </w:p>
        </w:tc>
        <w:tc>
          <w:tcPr/>
          <w:p>
            <w:pPr>
              <w:pStyle w:val="Compact"/>
              <w:jc w:val="left"/>
            </w:pPr>
            <w:r>
              <w:t xml:space="preserve">Japan Osaka</w:t>
            </w:r>
          </w:p>
        </w:tc>
      </w:tr>
      <w:tr>
        <w:tc>
          <w:tcPr/>
          <w:p>
            <w:pPr>
              <w:pStyle w:val="Compact"/>
              <w:jc w:val="left"/>
            </w:pPr>
            <w:r>
              <w:t xml:space="preserve">9</w:t>
            </w:r>
          </w:p>
        </w:tc>
        <w:tc>
          <w:tcPr/>
          <w:p>
            <w:pPr>
              <w:pStyle w:val="Compact"/>
              <w:jc w:val="left"/>
            </w:pPr>
            <w:r>
              <w:t xml:space="preserve">Banker Staff Training Programme – 200 end-user sessions in Japan Osaka (Japanese &amp; English)</w:t>
            </w:r>
          </w:p>
        </w:tc>
        <w:tc>
          <w:tcPr/>
          <w:p>
            <w:pPr>
              <w:pStyle w:val="Compact"/>
              <w:jc w:val="left"/>
            </w:pPr>
            <w:r>
              <w:t xml:space="preserve">200 hrs</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Osaka, Japan</w:t>
            </w:r>
          </w:p>
        </w:tc>
      </w:tr>
      <w:tr>
        <w:tc>
          <w:tcPr/>
          <w:p>
            <w:pPr>
              <w:pStyle w:val="Compact"/>
              <w:jc w:val="left"/>
            </w:pPr>
            <w:r>
              <w:t xml:space="preserve">10</w:t>
            </w:r>
          </w:p>
        </w:tc>
        <w:tc>
          <w:tcPr/>
          <w:p>
            <w:pPr>
              <w:pStyle w:val="Compact"/>
              <w:jc w:val="left"/>
            </w:pPr>
            <w:r>
              <w:t xml:space="preserve">Banker Disaster Recovery &amp; Business Continuity Setup (secondary site, Namba, Osaka)</w:t>
            </w:r>
          </w:p>
        </w:tc>
        <w:tc>
          <w:tcPr/>
          <w:p>
            <w:pPr>
              <w:pStyle w:val="Compact"/>
              <w:jc w:val="left"/>
            </w:pPr>
            <w:r>
              <w:t xml:space="preserve">1 lot</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Namba, Osaka</w:t>
            </w:r>
          </w:p>
        </w:tc>
      </w:tr>
      <w:tr>
        <w:tc>
          <w:tcPr>
            <w:gridSpan w:val="4"/>
          </w:tcPr>
          <w:p>
            <w:pPr>
              <w:pStyle w:val="Compact"/>
              <w:jc w:val="right"/>
            </w:pPr>
            <w:r>
              <w:t xml:space="preserve">SUBTOTAL</w:t>
            </w:r>
          </w:p>
        </w:tc>
        <w:tc>
          <w:tcPr/>
          <w:p>
            <w:pPr>
              <w:pStyle w:val="Compact"/>
              <w:jc w:val="left"/>
            </w:pPr>
            <w:r>
              <w:t xml:space="preserve">2,173,500.00</w:t>
            </w:r>
          </w:p>
        </w:tc>
        <w:tc>
          <w:tcPr/>
          <w:p>
            <w:pPr>
              <w:pStyle w:val="Compact"/>
            </w:pPr>
          </w:p>
        </w:tc>
      </w:tr>
      <w:tr>
        <w:tc>
          <w:tcPr>
            <w:gridSpan w:val="4"/>
          </w:tcPr>
          <w:p>
            <w:pPr>
              <w:pStyle w:val="Compact"/>
              <w:jc w:val="right"/>
            </w:pPr>
            <w:r>
              <w:t xml:space="preserve">Applicable Taxes &amp; Duties (Japan consumption tax 10%, import duties where applicable)</w:t>
            </w:r>
          </w:p>
        </w:tc>
        <w:tc>
          <w:tcPr/>
          <w:p>
            <w:pPr>
              <w:pStyle w:val="Compact"/>
              <w:jc w:val="left"/>
            </w:pPr>
            <w:r>
              <w:t xml:space="preserve">217,350.00</w:t>
            </w:r>
          </w:p>
        </w:tc>
        <w:tc>
          <w:tcPr/>
          <w:p>
            <w:pPr>
              <w:pStyle w:val="Compact"/>
            </w:pPr>
          </w:p>
        </w:tc>
      </w:tr>
      <w:tr>
        <w:tc>
          <w:tcPr>
            <w:gridSpan w:val="4"/>
          </w:tcPr>
          <w:p>
            <w:pPr>
              <w:pStyle w:val="Compact"/>
              <w:jc w:val="right"/>
            </w:pPr>
            <w:r>
              <w:t xml:space="preserve">Logistics, Shipping &amp; Insurance (International freight to Japan Osaka port)</w:t>
            </w:r>
          </w:p>
        </w:tc>
        <w:tc>
          <w:tcPr/>
          <w:p>
            <w:pPr>
              <w:pStyle w:val="Compact"/>
              <w:jc w:val="left"/>
            </w:pPr>
            <w:r>
              <w:t xml:space="preserve">28,400.00</w:t>
            </w:r>
          </w:p>
        </w:tc>
        <w:tc>
          <w:tcPr/>
          <w:p>
            <w:pPr>
              <w:pStyle w:val="Compact"/>
            </w:pPr>
          </w:p>
        </w:tc>
      </w:tr>
      <w:tr>
        <w:tc>
          <w:tcPr>
            <w:gridSpan w:val="4"/>
          </w:tcPr>
          <w:p>
            <w:pPr>
              <w:pStyle w:val="Compact"/>
              <w:jc w:val="right"/>
            </w:pPr>
            <w:r>
              <w:t xml:space="preserve">GRAND TOTAL (Quotation Estimate)</w:t>
            </w:r>
          </w:p>
        </w:tc>
        <w:tc>
          <w:tcPr/>
          <w:p>
            <w:pPr>
              <w:pStyle w:val="Compact"/>
              <w:jc w:val="left"/>
            </w:pPr>
            <w:r>
              <w:t xml:space="preserve">2,419,250.00</w:t>
            </w:r>
          </w:p>
        </w:tc>
        <w:tc>
          <w:tcPr/>
          <w:p>
            <w:pPr>
              <w:pStyle w:val="Compact"/>
            </w:pPr>
          </w:p>
        </w:tc>
      </w:tr>
    </w:tbl>
    <w:bookmarkEnd w:id="22"/>
    <w:bookmarkStart w:id="23"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30% Advance Payment</w:t>
      </w:r>
      <w:r>
        <w:t xml:space="preserve"> </w:t>
      </w:r>
      <w:r>
        <w:t xml:space="preserve">(USD 725,775.00) upon execution of the definitive contract and issuance of the purchase order by the Client in Japan Osaka.</w:t>
      </w:r>
    </w:p>
    <w:p>
      <w:pPr>
        <w:numPr>
          <w:ilvl w:val="0"/>
          <w:numId w:val="1002"/>
        </w:numPr>
        <w:pStyle w:val="Compact"/>
      </w:pPr>
      <w:r>
        <w:rPr>
          <w:bCs/>
          <w:b/>
        </w:rPr>
        <w:t xml:space="preserve">40% Milestone Payment</w:t>
      </w:r>
      <w:r>
        <w:t xml:space="preserve"> </w:t>
      </w:r>
      <w:r>
        <w:t xml:space="preserve">(USD 967,700.00) upon successful installation, configuration, and initial go-live of the Banker platform at the Umeda, Osaka site.</w:t>
      </w:r>
    </w:p>
    <w:p>
      <w:pPr>
        <w:numPr>
          <w:ilvl w:val="0"/>
          <w:numId w:val="1002"/>
        </w:numPr>
        <w:pStyle w:val="Compact"/>
      </w:pPr>
      <w:r>
        <w:rPr>
          <w:bCs/>
          <w:b/>
        </w:rPr>
        <w:t xml:space="preserve">20% Completion Payment</w:t>
      </w:r>
      <w:r>
        <w:t xml:space="preserve"> </w:t>
      </w:r>
      <w:r>
        <w:t xml:space="preserve">(USD 483,850.00) upon completion of all training sessions, final compliance certification, and handover of the Banker system to the Client's operations team in Japan Osaka.</w:t>
      </w:r>
    </w:p>
    <w:p>
      <w:pPr>
        <w:numPr>
          <w:ilvl w:val="0"/>
          <w:numId w:val="1002"/>
        </w:numPr>
        <w:pStyle w:val="Compact"/>
      </w:pPr>
      <w:r>
        <w:rPr>
          <w:bCs/>
          <w:b/>
        </w:rPr>
        <w:t xml:space="preserve">10% Retention Payment</w:t>
      </w:r>
      <w:r>
        <w:t xml:space="preserve"> </w:t>
      </w:r>
      <w:r>
        <w:t xml:space="preserve">(USD 241,925.00) payable twelve (12) months after the completion date, subject to satisfactory performance of the Banker system during the warranty period.</w:t>
      </w:r>
    </w:p>
    <w:p>
      <w:pPr>
        <w:pStyle w:val="FirstParagraph"/>
      </w:pPr>
      <w:r>
        <w:t xml:space="preserve">All payments shall be made via irrevocable letter of credit issued by a recognized financial institution in Japan Osaka, denominated in US Dollars (USD), with a 30-day sight period.</w:t>
      </w:r>
    </w:p>
    <w:bookmarkEnd w:id="23"/>
    <w:bookmarkStart w:id="24" w:name="delivery-and-implementation-timeline"/>
    <w:p>
      <w:pPr>
        <w:pStyle w:val="Heading2"/>
      </w:pPr>
      <w:r>
        <w:t xml:space="preserve">5. Delivery and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Contract execution, procurement, and international shipping of Banker hardware to Japan Osaka</w:t>
            </w:r>
          </w:p>
        </w:tc>
        <w:tc>
          <w:tcPr/>
          <w:p>
            <w:pPr>
              <w:pStyle w:val="Compact"/>
              <w:jc w:val="left"/>
            </w:pPr>
            <w:r>
              <w:t xml:space="preserve">6 weeks</w:t>
            </w:r>
          </w:p>
        </w:tc>
        <w:tc>
          <w:tcPr/>
          <w:p>
            <w:pPr>
              <w:pStyle w:val="Compact"/>
              <w:jc w:val="left"/>
            </w:pPr>
            <w:r>
              <w:t xml:space="preserve">August 2025</w:t>
            </w:r>
          </w:p>
        </w:tc>
      </w:tr>
      <w:tr>
        <w:tc>
          <w:tcPr/>
          <w:p>
            <w:pPr>
              <w:pStyle w:val="Compact"/>
              <w:jc w:val="left"/>
            </w:pPr>
            <w:r>
              <w:t xml:space="preserve">Phase 2</w:t>
            </w:r>
          </w:p>
        </w:tc>
        <w:tc>
          <w:tcPr/>
          <w:p>
            <w:pPr>
              <w:pStyle w:val="Compact"/>
              <w:jc w:val="left"/>
            </w:pPr>
            <w:r>
              <w:t xml:space="preserve">On-site installation, network integration, and Banker platform configuration in Umeda, Osaka</w:t>
            </w:r>
          </w:p>
        </w:tc>
        <w:tc>
          <w:tcPr/>
          <w:p>
            <w:pPr>
              <w:pStyle w:val="Compact"/>
              <w:jc w:val="left"/>
            </w:pPr>
            <w:r>
              <w:t xml:space="preserve">8 weeks</w:t>
            </w:r>
          </w:p>
        </w:tc>
        <w:tc>
          <w:tcPr/>
          <w:p>
            <w:pPr>
              <w:pStyle w:val="Compact"/>
              <w:jc w:val="left"/>
            </w:pPr>
            <w:r>
              <w:t xml:space="preserve">October 2025</w:t>
            </w:r>
          </w:p>
        </w:tc>
      </w:tr>
      <w:tr>
        <w:tc>
          <w:tcPr/>
          <w:p>
            <w:pPr>
              <w:pStyle w:val="Compact"/>
              <w:jc w:val="left"/>
            </w:pPr>
            <w:r>
              <w:t xml:space="preserve">Phase 3</w:t>
            </w:r>
          </w:p>
        </w:tc>
        <w:tc>
          <w:tcPr/>
          <w:p>
            <w:pPr>
              <w:pStyle w:val="Compact"/>
              <w:jc w:val="left"/>
            </w:pPr>
            <w:r>
              <w:t xml:space="preserve">Banker system testing, FSA Japan regulatory compliance validation, and cybersecurity audit</w:t>
            </w:r>
          </w:p>
        </w:tc>
        <w:tc>
          <w:tcPr/>
          <w:p>
            <w:pPr>
              <w:pStyle w:val="Compact"/>
              <w:jc w:val="left"/>
            </w:pPr>
            <w:r>
              <w:t xml:space="preserve">6 weeks</w:t>
            </w:r>
          </w:p>
        </w:tc>
        <w:tc>
          <w:tcPr/>
          <w:p>
            <w:pPr>
              <w:pStyle w:val="Compact"/>
              <w:jc w:val="left"/>
            </w:pPr>
            <w:r>
              <w:t xml:space="preserve">December 2025</w:t>
            </w:r>
          </w:p>
        </w:tc>
      </w:tr>
      <w:tr>
        <w:tc>
          <w:tcPr/>
          <w:p>
            <w:pPr>
              <w:pStyle w:val="Compact"/>
              <w:jc w:val="left"/>
            </w:pPr>
            <w:r>
              <w:t xml:space="preserve">Phase 4</w:t>
            </w:r>
          </w:p>
        </w:tc>
        <w:tc>
          <w:tcPr/>
          <w:p>
            <w:pPr>
              <w:pStyle w:val="Compact"/>
              <w:jc w:val="left"/>
            </w:pPr>
            <w:r>
              <w:t xml:space="preserve">Banker staff training (200 sessions) and knowledge transfer in Japan Osaka</w:t>
            </w:r>
          </w:p>
        </w:tc>
        <w:tc>
          <w:tcPr/>
          <w:p>
            <w:pPr>
              <w:pStyle w:val="Compact"/>
              <w:jc w:val="left"/>
            </w:pPr>
            <w:r>
              <w:t xml:space="preserve">4 weeks</w:t>
            </w:r>
          </w:p>
        </w:tc>
        <w:tc>
          <w:tcPr/>
          <w:p>
            <w:pPr>
              <w:pStyle w:val="Compact"/>
              <w:jc w:val="left"/>
            </w:pPr>
            <w:r>
              <w:t xml:space="preserve">January 2026</w:t>
            </w:r>
          </w:p>
        </w:tc>
      </w:tr>
      <w:tr>
        <w:tc>
          <w:tcPr/>
          <w:p>
            <w:pPr>
              <w:pStyle w:val="Compact"/>
              <w:jc w:val="left"/>
            </w:pPr>
            <w:r>
              <w:t xml:space="preserve">Phase 5</w:t>
            </w:r>
          </w:p>
        </w:tc>
        <w:tc>
          <w:tcPr/>
          <w:p>
            <w:pPr>
              <w:pStyle w:val="Compact"/>
              <w:jc w:val="left"/>
            </w:pPr>
            <w:r>
              <w:t xml:space="preserve">Go-live, 90-day hypercare support, and formal handover of the Banker system</w:t>
            </w:r>
          </w:p>
        </w:tc>
        <w:tc>
          <w:tcPr/>
          <w:p>
            <w:pPr>
              <w:pStyle w:val="Compact"/>
              <w:jc w:val="left"/>
            </w:pPr>
            <w:r>
              <w:t xml:space="preserve">13 weeks</w:t>
            </w:r>
          </w:p>
        </w:tc>
        <w:tc>
          <w:tcPr/>
          <w:p>
            <w:pPr>
              <w:pStyle w:val="Compact"/>
              <w:jc w:val="left"/>
            </w:pPr>
            <w:r>
              <w:t xml:space="preserve">April 2026</w:t>
            </w:r>
          </w:p>
        </w:tc>
      </w:tr>
    </w:tbl>
    <w:bookmarkEnd w:id="24"/>
    <w:bookmarkStart w:id="25" w:name="regulatory-and-compliance-statement"/>
    <w:p>
      <w:pPr>
        <w:pStyle w:val="Heading2"/>
      </w:pPr>
      <w:r>
        <w:t xml:space="preserve">6. Regulatory and Compliance Statement</w:t>
      </w:r>
    </w:p>
    <w:p>
      <w:pPr>
        <w:pStyle w:val="FirstParagraph"/>
      </w:pPr>
      <w:r>
        <w:t xml:space="preserve">The Provider warrants that the</w:t>
      </w:r>
      <w:r>
        <w:t xml:space="preserve"> </w:t>
      </w:r>
      <w:r>
        <w:rPr>
          <w:bCs/>
          <w:b/>
        </w:rPr>
        <w:t xml:space="preserve">Banker</w:t>
      </w:r>
      <w:r>
        <w:t xml:space="preserve"> </w:t>
      </w:r>
      <w:r>
        <w:t xml:space="preserve">platform and all associated services quoted in this Quotation Estimate shall be fully compliant with the banking regulations of Japan, including but not limited to the Banking Act of Japan, the Act on the Protection of Personal Information (APPI), the Financial Instruments and Exchange Act, and all directives issued by the Financial Services Agency (FSA) and the Bank of Japan. All data processing and storage related to the Banker system shall be conducted within the</w:t>
      </w:r>
      <w:r>
        <w:t xml:space="preserve"> </w:t>
      </w:r>
      <w:r>
        <w:rPr>
          <w:bCs/>
          <w:b/>
        </w:rPr>
        <w:t xml:space="preserve">Japan Osaka</w:t>
      </w:r>
      <w:r>
        <w:t xml:space="preserve"> </w:t>
      </w:r>
      <w:r>
        <w:t xml:space="preserve">region to satisfy data residency requirements. The Provider shall cooperate fully with any regulatory inspections or audits conducted by Japanese authorities in relation to the Banker platform's operation in Japan Osaka.</w:t>
      </w:r>
    </w:p>
    <w:bookmarkEnd w:id="25"/>
    <w:bookmarkStart w:id="26" w:name="warranty-and-service-level-agreement-sla"/>
    <w:p>
      <w:pPr>
        <w:pStyle w:val="Heading2"/>
      </w:pPr>
      <w:r>
        <w:t xml:space="preserve">7. Warranty and Service Level Agreement (SLA)</w:t>
      </w:r>
    </w:p>
    <w:p>
      <w:pPr>
        <w:pStyle w:val="FirstParagraph"/>
      </w:pPr>
      <w:r>
        <w:t xml:space="preserve">The Provider guarantees a minimum uptime of 99.95% for the</w:t>
      </w:r>
      <w:r>
        <w:t xml:space="preserve"> </w:t>
      </w:r>
      <w:r>
        <w:rPr>
          <w:bCs/>
          <w:b/>
        </w:rPr>
        <w:t xml:space="preserve">Banker</w:t>
      </w:r>
      <w:r>
        <w:t xml:space="preserve"> </w:t>
      </w:r>
      <w:r>
        <w:t xml:space="preserve">platform during normal business operations in</w:t>
      </w:r>
      <w:r>
        <w:t xml:space="preserve"> </w:t>
      </w:r>
      <w:r>
        <w:rPr>
          <w:bCs/>
          <w:b/>
        </w:rPr>
        <w:t xml:space="preserve">Japan Osaka</w:t>
      </w:r>
      <w:r>
        <w:t xml:space="preserve">. In the event of a system failure, the Provider's dedicated support team shall respond within two (2) hours and restore full Banker system functionality within eight (8) hours. The warranty period for all hardware components of the Banker infrastructure shall be thirty-six (36) months from the date of go-live. Software defects in the Banker platform shall be corrected at no additional cost to the Client throughout the warranty period.</w:t>
      </w:r>
    </w:p>
    <w:bookmarkEnd w:id="26"/>
    <w:bookmarkStart w:id="27" w:name="assumptions-and-exclusions"/>
    <w:p>
      <w:pPr>
        <w:pStyle w:val="Heading2"/>
      </w:pPr>
      <w:r>
        <w:t xml:space="preserve">8. Assumptions and Exclusions</w:t>
      </w:r>
    </w:p>
    <w:p>
      <w:pPr>
        <w:pStyle w:val="FirstParagraph"/>
      </w:pPr>
      <w:r>
        <w:t xml:space="preserve">This Quotation Estimate assumes that the Client's facility in Umeda, Osaka, Japan, shall be prepared to receive and house the Banker hardware infrastructure, including adequate power supply (dual-feed, 200A minimum), climate control (18–24°C), and dedicated fiber-optic network connectivity. Costs associated with civil works, electrical upgrades, or structural modifications to the Client's premises in Japan Osaka are excluded from this Quotation Estimate and shall be borne by the Client. Any scope changes requested by the Client after the execution of the definitive contract shall be subject to a revised Quotation Estimate issued by the Provider.</w:t>
      </w:r>
    </w:p>
    <w:bookmarkEnd w:id="27"/>
    <w:bookmarkStart w:id="28" w:name="terms-and-conditions"/>
    <w:p>
      <w:pPr>
        <w:pStyle w:val="Heading2"/>
      </w:pPr>
      <w:r>
        <w:t xml:space="preserve">9. Terms and Conditions</w:t>
      </w:r>
    </w:p>
    <w:p>
      <w:pPr>
        <w:pStyle w:val="FirstParagraph"/>
      </w:pPr>
      <w:r>
        <w:t xml:space="preserve">This Quotation Estimate is valid for a period of ninety (90) days from the date of issue. Acceptance of this Quotation Estimate by the Client shall be communicated in writing via signed purchase order or contract. All disputes arising from this Quotation Estimate or the subsequent contract shall be governed by the laws of Japan and shall be resolved through arbitration in Osaka, Japan, in accordance with the rules of the Japan Commercial Arbitration Association (JCAA). The Provider reserves the right to revise pricing in this Quotation Estimate should there be material changes in foreign exchange rates (USD/JPY) exceeding 10% between the date of issue and the date of contract execution.</w:t>
      </w:r>
    </w:p>
    <w:bookmarkEnd w:id="28"/>
    <w:bookmarkStart w:id="29" w:name="acceptance-and-authorization"/>
    <w:p>
      <w:pPr>
        <w:pStyle w:val="Heading2"/>
      </w:pPr>
      <w:r>
        <w:t xml:space="preserve">10. Acceptance and Authorization</w:t>
      </w:r>
    </w:p>
    <w:p>
      <w:pPr>
        <w:pStyle w:val="FirstParagraph"/>
      </w:pPr>
      <w:r>
        <w:t xml:space="preserve">By signing below, both parties acknowledge that this Quotation Estimate for the</w:t>
      </w:r>
      <w:r>
        <w:t xml:space="preserve"> </w:t>
      </w:r>
      <w:r>
        <w:rPr>
          <w:bCs/>
          <w:b/>
        </w:rPr>
        <w:t xml:space="preserve">Banker</w:t>
      </w:r>
      <w:r>
        <w:t xml:space="preserve"> </w:t>
      </w:r>
      <w:r>
        <w:t xml:space="preserve">platform and services to be deployed in</w:t>
      </w:r>
      <w:r>
        <w:t xml:space="preserve"> </w:t>
      </w:r>
      <w:r>
        <w:rPr>
          <w:bCs/>
          <w:b/>
        </w:rPr>
        <w:t xml:space="preserve">Japan Osaka</w:t>
      </w:r>
      <w:r>
        <w:t xml:space="preserve"> </w:t>
      </w:r>
      <w:r>
        <w:t xml:space="preserve">has been reviewed, understood, and accepted in its entirety. This document, once countersigned, shall serve as the foundational commercial reference for the subsequent definitive contract.</w:t>
      </w:r>
    </w:p>
    <w:p>
      <w:pPr>
        <w:pStyle w:val="BodyText"/>
      </w:pPr>
      <w:r>
        <w:rPr>
          <w:bCs/>
          <w:b/>
        </w:rPr>
        <w:t xml:space="preserve">For and on behalf of the Provider:</w:t>
      </w:r>
      <w:r>
        <w:br/>
      </w:r>
      <w:r>
        <w:t xml:space="preserve">Meridian Global Banking Solutions Ltd.</w:t>
      </w:r>
    </w:p>
    <w:p>
      <w:pPr>
        <w:pStyle w:val="BodyText"/>
      </w:pPr>
      <w:r>
        <w:t xml:space="preserve">Name: ______________________________</w:t>
      </w:r>
      <w:r>
        <w:br/>
      </w:r>
      <w:r>
        <w:t xml:space="preserve">Title: Chief Executive Officer</w:t>
      </w:r>
      <w:r>
        <w:br/>
      </w:r>
      <w:r>
        <w:t xml:space="preserve">Date: ______________________________</w:t>
      </w:r>
    </w:p>
    <w:p>
      <w:pPr>
        <w:pStyle w:val="BodyText"/>
      </w:pPr>
      <w:r>
        <w:rPr>
          <w:bCs/>
          <w:b/>
        </w:rPr>
        <w:t xml:space="preserve">For and on behalf of the Client:</w:t>
      </w:r>
      <w:r>
        <w:br/>
      </w:r>
      <w:r>
        <w:t xml:space="preserve">Kansai Regional Financial Operations Division</w:t>
      </w:r>
      <w:r>
        <w:br/>
      </w:r>
      <w:r>
        <w:t xml:space="preserve">Osaka, Japan</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t xml:space="preserve">— End of Quotation Estimate QE-2025-OSK-0472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Japan Osaka</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file>