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Corporate Banker Advisory &amp; Financial Services — Japan Tokyo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QTE-TYO-2025-04871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Kenji Tanaka, Senior Banker, Corporate Advisory Division</w:t>
            </w:r>
          </w:p>
        </w:tc>
      </w:tr>
      <w:tr>
        <w:tc>
          <w:tcPr/>
          <w:p>
            <w:pPr>
              <w:pStyle w:val="Compact"/>
              <w:jc w:val="left"/>
            </w:pPr>
            <w:r>
              <w:t xml:space="preserve">Prepared For</w:t>
            </w:r>
          </w:p>
        </w:tc>
        <w:tc>
          <w:tcPr/>
          <w:p>
            <w:pPr>
              <w:pStyle w:val="Compact"/>
              <w:jc w:val="left"/>
            </w:pPr>
            <w:r>
              <w:t xml:space="preserve">Ms. Sarah Mitchell, Chief Financial Officer, Pacific Meridian Holdings Ltd.</w:t>
            </w:r>
          </w:p>
        </w:tc>
      </w:tr>
      <w:tr>
        <w:tc>
          <w:tcPr/>
          <w:p>
            <w:pPr>
              <w:pStyle w:val="Compact"/>
              <w:jc w:val="left"/>
            </w:pPr>
            <w:r>
              <w:t xml:space="preserve">Service Location</w:t>
            </w:r>
          </w:p>
        </w:tc>
        <w:tc>
          <w:tcPr/>
          <w:p>
            <w:pPr>
              <w:pStyle w:val="Compact"/>
              <w:jc w:val="left"/>
            </w:pPr>
            <w:r>
              <w:t xml:space="preserve">Tokyo, Japan — Primary Office: Marunouchi Financial District, Chiyoda-ku, Tokyo 100-0005</w:t>
            </w:r>
          </w:p>
        </w:tc>
      </w:tr>
      <w:tr>
        <w:tc>
          <w:tcPr/>
          <w:p>
            <w:pPr>
              <w:pStyle w:val="Compact"/>
              <w:jc w:val="left"/>
            </w:pPr>
            <w:r>
              <w:t xml:space="preserve">Currency</w:t>
            </w:r>
          </w:p>
        </w:tc>
        <w:tc>
          <w:tcPr/>
          <w:p>
            <w:pPr>
              <w:pStyle w:val="Compact"/>
              <w:jc w:val="left"/>
            </w:pPr>
            <w:r>
              <w:t xml:space="preserve">Japanese Yen (JPY) / US Dollar (USD) — dual-currency pricing</w:t>
            </w:r>
          </w:p>
        </w:tc>
      </w:tr>
    </w:tbl>
    <w:bookmarkStart w:id="21" w:name="executive-summary"/>
    <w:p>
      <w:pPr>
        <w:pStyle w:val="Heading2"/>
      </w:pPr>
      <w:r>
        <w:t xml:space="preserve">1. Executive Summary</w:t>
      </w:r>
    </w:p>
    <w:p>
      <w:pPr>
        <w:pStyle w:val="FirstParagraph"/>
      </w:pPr>
      <w:r>
        <w:t xml:space="preserve">This Quotation Estimate is formally issued by Pacific Meridian Holdings Ltd. to engage the services of a dedicated Corporate Banker based in Japan Tokyo. The Banker will provide comprehensive financial advisory, treasury management, trade finance facilitation, and regulatory compliance support tailored to the operational needs of the client's Japan-based subsidiaries and cross-border transactions. This Quotation Estimate outlines the full scope of the Banker's engagement, the associated fee structure, and all applicable terms governing the professional relationship in the Japan Tokyo market.</w:t>
      </w:r>
    </w:p>
    <w:bookmarkEnd w:id="21"/>
    <w:bookmarkStart w:id="22" w:name="scope-of-banker-services-japan-tokyo"/>
    <w:p>
      <w:pPr>
        <w:pStyle w:val="Heading2"/>
      </w:pPr>
      <w:r>
        <w:t xml:space="preserve">2. Scope of Banker Services — Japan Tokyo</w:t>
      </w:r>
    </w:p>
    <w:p>
      <w:pPr>
        <w:pStyle w:val="FirstParagraph"/>
      </w:pPr>
      <w:r>
        <w:t xml:space="preserve">The appointed Banker will operate out of the Marunouchi Financial District in Tokyo, Japan, and will deliver the following core services on a continuous, full-time basis:</w:t>
      </w:r>
    </w:p>
    <w:p>
      <w:pPr>
        <w:numPr>
          <w:ilvl w:val="0"/>
          <w:numId w:val="1001"/>
        </w:numPr>
        <w:pStyle w:val="Compact"/>
      </w:pPr>
      <w:r>
        <w:rPr>
          <w:bCs/>
          <w:b/>
        </w:rPr>
        <w:t xml:space="preserve">Corporate Treasury Management:</w:t>
      </w:r>
      <w:r>
        <w:t xml:space="preserve"> </w:t>
      </w:r>
      <w:r>
        <w:t xml:space="preserve">Daily cash flow optimization, foreign exchange hedging strategies (JPY/USD, JPY/EUR, JPY/GBP), and multi-currency account structuring for the client's Japan Tokyo operations.</w:t>
      </w:r>
    </w:p>
    <w:p>
      <w:pPr>
        <w:numPr>
          <w:ilvl w:val="0"/>
          <w:numId w:val="1001"/>
        </w:numPr>
        <w:pStyle w:val="Compact"/>
      </w:pPr>
      <w:r>
        <w:rPr>
          <w:bCs/>
          <w:b/>
        </w:rPr>
        <w:t xml:space="preserve">Trade Finance &amp; Letters of Credit:</w:t>
      </w:r>
      <w:r>
        <w:t xml:space="preserve"> </w:t>
      </w:r>
      <w:r>
        <w:t xml:space="preserve">Issuance, negotiation, and settlement of trade instruments in compliance with the Uniform Customs and Practice for Documentary Credits (UCP 600) as administered through Japan Tokyo banking channels.</w:t>
      </w:r>
    </w:p>
    <w:p>
      <w:pPr>
        <w:numPr>
          <w:ilvl w:val="0"/>
          <w:numId w:val="1001"/>
        </w:numPr>
        <w:pStyle w:val="Compact"/>
      </w:pPr>
      <w:r>
        <w:rPr>
          <w:bCs/>
          <w:b/>
        </w:rPr>
        <w:t xml:space="preserve">Regulatory &amp; Compliance Advisory:</w:t>
      </w:r>
      <w:r>
        <w:t xml:space="preserve"> </w:t>
      </w:r>
      <w:r>
        <w:t xml:space="preserve">Ongoing guidance on the Financial Services Act of Japan, Bank of Japan (BOJ) monetary policy implications, and the Financial Services Agency (FSA) reporting requirements applicable to the Banker's activities in Japan Tokyo.</w:t>
      </w:r>
    </w:p>
    <w:p>
      <w:pPr>
        <w:numPr>
          <w:ilvl w:val="0"/>
          <w:numId w:val="1001"/>
        </w:numPr>
        <w:pStyle w:val="Compact"/>
      </w:pPr>
      <w:r>
        <w:rPr>
          <w:bCs/>
          <w:b/>
        </w:rPr>
        <w:t xml:space="preserve">Relationship Banking &amp; Lender Liaison:</w:t>
      </w:r>
      <w:r>
        <w:t xml:space="preserve"> </w:t>
      </w:r>
      <w:r>
        <w:t xml:space="preserve">The Banker will serve as the primary point of contact with all Japanese financial institutions, including but not limited to MUFG, SMBC, and Mizuho, to negotiate credit facilities, syndicated loans, and working capital arrangements.</w:t>
      </w:r>
    </w:p>
    <w:p>
      <w:pPr>
        <w:numPr>
          <w:ilvl w:val="0"/>
          <w:numId w:val="1001"/>
        </w:numPr>
        <w:pStyle w:val="Compact"/>
      </w:pPr>
      <w:r>
        <w:rPr>
          <w:bCs/>
          <w:b/>
        </w:rPr>
        <w:t xml:space="preserve">Strategic Financial Planning:</w:t>
      </w:r>
      <w:r>
        <w:t xml:space="preserve"> </w:t>
      </w:r>
      <w:r>
        <w:t xml:space="preserve">Quarterly and annual financial forecasting, capital structure optimization, and M&amp;A advisory support specific to the Japan Tokyo corporate landscape.</w:t>
      </w:r>
    </w:p>
    <w:bookmarkEnd w:id="22"/>
    <w:bookmarkStart w:id="23" w:name="fee-structure-pricing"/>
    <w:p>
      <w:pPr>
        <w:pStyle w:val="Heading2"/>
      </w:pPr>
      <w:r>
        <w:t xml:space="preserve">3. Fee Structure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Unit Price (USD)</w:t>
            </w:r>
          </w:p>
        </w:tc>
        <w:tc>
          <w:tcPr/>
          <w:p>
            <w:pPr>
              <w:pStyle w:val="Compact"/>
              <w:jc w:val="left"/>
            </w:pPr>
            <w:r>
              <w:t xml:space="preserve">Annual Total (JPY)</w:t>
            </w:r>
          </w:p>
        </w:tc>
      </w:tr>
      <w:tr>
        <w:tc>
          <w:tcPr/>
          <w:p>
            <w:pPr>
              <w:pStyle w:val="Compact"/>
              <w:jc w:val="left"/>
            </w:pPr>
            <w:r>
              <w:t xml:space="preserve">01</w:t>
            </w:r>
          </w:p>
        </w:tc>
        <w:tc>
          <w:tcPr/>
          <w:p>
            <w:pPr>
              <w:pStyle w:val="Compact"/>
              <w:jc w:val="left"/>
            </w:pPr>
            <w:r>
              <w:t xml:space="preserve">Full-time Corporate Banker — Base Retainer (Japan Tokyo office)</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$12,333</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Treasury &amp; FX Advisory — Dedicated Desk Access</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$2,800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Trade Finance Processing (up to 50 LCs per annum)</w:t>
            </w:r>
          </w:p>
        </w:tc>
        <w:tc>
          <w:tcPr/>
          <w:p>
            <w:pPr>
              <w:pStyle w:val="Compact"/>
              <w:jc w:val="left"/>
            </w:pPr>
            <w:r>
              <w:t xml:space="preserve">Per instrument</w:t>
            </w:r>
          </w:p>
        </w:tc>
        <w:tc>
          <w:tcPr/>
          <w:p>
            <w:pPr>
              <w:pStyle w:val="Compact"/>
              <w:jc w:val="left"/>
            </w:pPr>
            <w:r>
              <w:t xml:space="preserve">¥85,000</w:t>
            </w:r>
          </w:p>
        </w:tc>
        <w:tc>
          <w:tcPr/>
          <w:p>
            <w:pPr>
              <w:pStyle w:val="Compact"/>
              <w:jc w:val="left"/>
            </w:pPr>
            <w:r>
              <w:t xml:space="preserve">$567</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Regulatory Compliance &amp; FSA Filing Support</w:t>
            </w:r>
          </w:p>
        </w:tc>
        <w:tc>
          <w:tcPr/>
          <w:p>
            <w:pPr>
              <w:pStyle w:val="Compact"/>
              <w:jc w:val="left"/>
            </w:pPr>
            <w:r>
              <w:t xml:space="preserve">Quarterly</w:t>
            </w:r>
          </w:p>
        </w:tc>
        <w:tc>
          <w:tcPr/>
          <w:p>
            <w:pPr>
              <w:pStyle w:val="Compact"/>
              <w:jc w:val="left"/>
            </w:pPr>
            <w:r>
              <w:t xml:space="preserve">¥310,000</w:t>
            </w:r>
          </w:p>
        </w:tc>
        <w:tc>
          <w:tcPr/>
          <w:p>
            <w:pPr>
              <w:pStyle w:val="Compact"/>
              <w:jc w:val="left"/>
            </w:pPr>
            <w:r>
              <w:t xml:space="preserve">$2,067</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Strategic Financial Planning &amp; Board Reporting</w:t>
            </w:r>
          </w:p>
        </w:tc>
        <w:tc>
          <w:tcPr/>
          <w:p>
            <w:pPr>
              <w:pStyle w:val="Compact"/>
              <w:jc w:val="left"/>
            </w:pPr>
            <w:r>
              <w:t xml:space="preserve">Quarterly</w:t>
            </w:r>
          </w:p>
        </w:tc>
        <w:tc>
          <w:tcPr/>
          <w:p>
            <w:pPr>
              <w:pStyle w:val="Compact"/>
              <w:jc w:val="left"/>
            </w:pPr>
            <w:r>
              <w:t xml:space="preserve">¥550,000</w:t>
            </w:r>
          </w:p>
        </w:tc>
        <w:tc>
          <w:tcPr/>
          <w:p>
            <w:pPr>
              <w:pStyle w:val="Compact"/>
              <w:jc w:val="left"/>
            </w:pPr>
            <w:r>
              <w:t xml:space="preserve">$3,667</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On-site Meetings &amp; Lender Negotiations (Japan Tokyo)</w:t>
            </w:r>
          </w:p>
        </w:tc>
        <w:tc>
          <w:tcPr/>
          <w:p>
            <w:pPr>
              <w:pStyle w:val="Compact"/>
              <w:jc w:val="left"/>
            </w:pPr>
            <w:r>
              <w:t xml:space="preserve">As required</w:t>
            </w:r>
          </w:p>
        </w:tc>
        <w:tc>
          <w:tcPr/>
          <w:p>
            <w:pPr>
              <w:pStyle w:val="Compact"/>
              <w:jc w:val="left"/>
            </w:pPr>
            <w:r>
              <w:t xml:space="preserve">¥120,000</w:t>
            </w:r>
          </w:p>
        </w:tc>
        <w:tc>
          <w:tcPr/>
          <w:p>
            <w:pPr>
              <w:pStyle w:val="Compact"/>
              <w:jc w:val="left"/>
            </w:pPr>
            <w:r>
              <w:t xml:space="preserve">$800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Emergency / After-hours Banker Availability (24/7)</w:t>
            </w:r>
          </w:p>
        </w:tc>
        <w:tc>
          <w:tcPr/>
          <w:p>
            <w:pPr>
              <w:pStyle w:val="Compact"/>
              <w:jc w:val="left"/>
            </w:pPr>
            <w:r>
              <w:t xml:space="preserve">Annual</w:t>
            </w:r>
          </w:p>
        </w:tc>
        <w:tc>
          <w:tcPr/>
          <w:p>
            <w:pPr>
              <w:pStyle w:val="Compact"/>
              <w:jc w:val="left"/>
            </w:pPr>
            <w:r>
              <w:t xml:space="preserve">—</w:t>
            </w:r>
          </w:p>
        </w:tc>
        <w:tc>
          <w:tcPr/>
          <w:p>
            <w:pPr>
              <w:pStyle w:val="Compact"/>
              <w:jc w:val="left"/>
            </w:pPr>
            <w:r>
              <w:t xml:space="preserve">—</w:t>
            </w:r>
          </w:p>
        </w:tc>
        <w:tc>
          <w:tcPr/>
          <w:p>
            <w:pPr>
              <w:pStyle w:val="Compact"/>
              <w:jc w:val="left"/>
            </w:pPr>
            <w:r>
              <w:t xml:space="preserve">¥960,000</w:t>
            </w:r>
          </w:p>
        </w:tc>
      </w:tr>
      <w:tr>
        <w:tc>
          <w:tcPr>
            <w:gridSpan w:val="5"/>
          </w:tcPr>
          <w:p>
            <w:pPr>
              <w:pStyle w:val="Compact"/>
              <w:jc w:val="right"/>
            </w:pPr>
            <w:r>
              <w:t xml:space="preserve">TOTAL ANNUAL ESTIMATE</w:t>
            </w:r>
          </w:p>
        </w:tc>
        <w:tc>
          <w:tcPr/>
          <w:p>
            <w:pPr>
              <w:pStyle w:val="Compact"/>
              <w:jc w:val="left"/>
            </w:pPr>
            <w:r>
              <w:t xml:space="preserve">¥37,330,000</w:t>
            </w:r>
          </w:p>
        </w:tc>
      </w:tr>
      <w:tr>
        <w:tc>
          <w:tcPr>
            <w:gridSpan w:val="5"/>
          </w:tcPr>
          <w:p>
            <w:pPr>
              <w:pStyle w:val="Compact"/>
              <w:jc w:val="right"/>
            </w:pPr>
            <w:r>
              <w:t xml:space="preserve">TOTAL ANNUAL ESTIMATE (USD equivalent)</w:t>
            </w:r>
          </w:p>
        </w:tc>
        <w:tc>
          <w:tcPr/>
          <w:p>
            <w:pPr>
              <w:pStyle w:val="Compact"/>
              <w:jc w:val="left"/>
            </w:pPr>
            <w:r>
              <w:t xml:space="preserve">$250,000</w:t>
            </w:r>
          </w:p>
        </w:tc>
      </w:tr>
    </w:tbl>
    <w:bookmarkEnd w:id="23"/>
    <w:bookmarkStart w:id="24" w:name="additional-costs-exclusions"/>
    <w:p>
      <w:pPr>
        <w:pStyle w:val="Heading2"/>
      </w:pPr>
      <w:r>
        <w:t xml:space="preserve">4. Additional Costs &amp; Exclusions</w:t>
      </w:r>
    </w:p>
    <w:p>
      <w:pPr>
        <w:pStyle w:val="FirstParagraph"/>
      </w:pPr>
      <w:r>
        <w:t xml:space="preserve">The following items are excluded from the above Quotation Estimate and will be billed at cost or at prevailing market rates:</w:t>
      </w:r>
    </w:p>
    <w:p>
      <w:pPr>
        <w:numPr>
          <w:ilvl w:val="0"/>
          <w:numId w:val="1002"/>
        </w:numPr>
        <w:pStyle w:val="Compact"/>
      </w:pPr>
      <w:r>
        <w:t xml:space="preserve">Government filing fees, stamp duties, and BOJ transaction levies applicable in Japan Tokyo.</w:t>
      </w:r>
    </w:p>
    <w:p>
      <w:pPr>
        <w:numPr>
          <w:ilvl w:val="0"/>
          <w:numId w:val="1002"/>
        </w:numPr>
        <w:pStyle w:val="Compact"/>
      </w:pPr>
      <w:r>
        <w:t xml:space="preserve">Third-party legal counsel fees for complex M&amp;A or litigation matters.</w:t>
      </w:r>
    </w:p>
    <w:p>
      <w:pPr>
        <w:numPr>
          <w:ilvl w:val="0"/>
          <w:numId w:val="1002"/>
        </w:numPr>
        <w:pStyle w:val="Compact"/>
      </w:pPr>
      <w:r>
        <w:t xml:space="preserve">Travel expenses for the Banker if engagement extends beyond the Tokyo metropolitan area (e.g., Osaka, Nagoya, Fukuoka).</w:t>
      </w:r>
    </w:p>
    <w:p>
      <w:pPr>
        <w:numPr>
          <w:ilvl w:val="0"/>
          <w:numId w:val="1002"/>
        </w:numPr>
        <w:pStyle w:val="Compact"/>
      </w:pPr>
      <w:r>
        <w:t xml:space="preserve">Any foreign exchange spread or conversion fees exceeding the standard interbank rate by more than 0.50%.</w:t>
      </w:r>
    </w:p>
    <w:bookmarkEnd w:id="24"/>
    <w:bookmarkStart w:id="25" w:name="payment-terms"/>
    <w:p>
      <w:pPr>
        <w:pStyle w:val="Heading2"/>
      </w:pPr>
      <w:r>
        <w:t xml:space="preserve">5. Payment Terms</w:t>
      </w:r>
    </w:p>
    <w:p>
      <w:pPr>
        <w:pStyle w:val="FirstParagraph"/>
      </w:pPr>
      <w:r>
        <w:t xml:space="preserve">All fees outlined in this Quotation Estimate shall be invoiced on a monthly basis, payable within thirty (30) days of invoice date via wire transfer to the designated account held at a licensed bank in Japan Tokyo. Late payments shall accrue interest at the rate of 1.5% per month, in accordance with the Commercial Transactions Act of Japan. The client may elect to pay in JPY or USD; the applicable exchange rate shall be the BOJ reference rate on the date of invoicing.</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thirty (30) days from the date of issue. Upon expiry, all pricing is subject to revision based on prevailing Japan Tokyo market conditions.</w:t>
      </w:r>
    </w:p>
    <w:p>
      <w:pPr>
        <w:numPr>
          <w:ilvl w:val="0"/>
          <w:numId w:val="1003"/>
        </w:numPr>
        <w:pStyle w:val="Compact"/>
      </w:pPr>
      <w:r>
        <w:t xml:space="preserve">The Banker shall maintain full professional indemnity insurance with a minimum coverage of ¥500,000,000, as required for financial services professionals operating in Japan Tokyo.</w:t>
      </w:r>
    </w:p>
    <w:p>
      <w:pPr>
        <w:numPr>
          <w:ilvl w:val="0"/>
          <w:numId w:val="1003"/>
        </w:numPr>
        <w:pStyle w:val="Compact"/>
      </w:pPr>
      <w:r>
        <w:t xml:space="preserve">All data, financial records, and client information handled by the Banker in Japan Tokyo shall be protected in strict accordance with the Act on the Protection of Personal Information (APPI) of Japan and the client's internal data governance policies.</w:t>
      </w:r>
    </w:p>
    <w:p>
      <w:pPr>
        <w:numPr>
          <w:ilvl w:val="0"/>
          <w:numId w:val="1003"/>
        </w:numPr>
        <w:pStyle w:val="Compact"/>
      </w:pPr>
      <w:r>
        <w:t xml:space="preserve">Either party may terminate the engagement with sixty (60) days' written notice. In the event of early termination by the client without cause, a pro-rata fee for the remaining contract period shall be due.</w:t>
      </w:r>
    </w:p>
    <w:p>
      <w:pPr>
        <w:numPr>
          <w:ilvl w:val="0"/>
          <w:numId w:val="1003"/>
        </w:numPr>
        <w:pStyle w:val="Compact"/>
      </w:pPr>
      <w:r>
        <w:t xml:space="preserve">This Quotation Estimate does not constitute a binding contract until countersigned by both parties. The definitive Service Agreement, governed by the laws of Japan and with jurisdiction in the Tokyo District Court, shall be executed within fourteen (14) days of acceptance.</w:t>
      </w:r>
    </w:p>
    <w:p>
      <w:pPr>
        <w:numPr>
          <w:ilvl w:val="0"/>
          <w:numId w:val="1003"/>
        </w:numPr>
        <w:pStyle w:val="Compact"/>
      </w:pPr>
      <w:r>
        <w:t xml:space="preserve">The Banker shall comply with all anti-money laundering (AML) and counter-terrorist financing (CTF) regulations as enforced by the Financial Services Agency and the Japan Financial Intelligence Analysis Center (FIU).</w:t>
      </w:r>
    </w:p>
    <w:p>
      <w:pPr>
        <w:pStyle w:val="FirstParagraph"/>
      </w:pPr>
      <w:r>
        <w:rPr>
          <w:bCs/>
          <w:b/>
        </w:rPr>
        <w:t xml:space="preserve">Important Note:</w:t>
      </w:r>
      <w:r>
        <w:t xml:space="preserve"> </w:t>
      </w:r>
      <w:r>
        <w:t xml:space="preserve">This Quotation Estimate reflects the Banker's professional services as of the date of issue. Should the Bank of Japan implement significant monetary policy changes, or should the Financial Services Agency issue new regulatory directives affecting banking operations in Japan Tokyo during the validity period, a supplementary addendum to this Quotation Estimate may be issued to reflect any material adjustments to scope or pricing.</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they have read, understood, and agree to the terms set forth in this Quotation Estimate for the engagement of the Banker in Japan Tokyo.</w:t>
      </w:r>
    </w:p>
    <w:p>
      <w:pPr>
        <w:pStyle w:val="BodyText"/>
      </w:pPr>
      <w:r>
        <w:rPr>
          <w:bCs/>
          <w:b/>
        </w:rPr>
        <w:t xml:space="preserve">For and on behalf of the Service Provider (Banker)</w:t>
      </w:r>
      <w:r>
        <w:br/>
      </w:r>
      <w:r>
        <w:t xml:space="preserve">Name: Mr. Kenji Tanaka</w:t>
      </w:r>
      <w:r>
        <w:br/>
      </w:r>
      <w:r>
        <w:t xml:space="preserve">Title: Senior Banker, Corporate Advisory Division</w:t>
      </w:r>
      <w:r>
        <w:br/>
      </w:r>
      <w:r>
        <w:t xml:space="preserve">Date: ____________________</w:t>
      </w:r>
    </w:p>
    <w:p>
      <w:pPr>
        <w:pStyle w:val="BodyText"/>
      </w:pPr>
      <w:r>
        <w:rPr>
          <w:bCs/>
          <w:b/>
        </w:rPr>
        <w:t xml:space="preserve">For and on behalf of the Client</w:t>
      </w:r>
      <w:r>
        <w:br/>
      </w:r>
      <w:r>
        <w:t xml:space="preserve">Name: Ms. Sarah Mitchell</w:t>
      </w:r>
      <w:r>
        <w:br/>
      </w:r>
      <w:r>
        <w:t xml:space="preserve">Title: Chief Financial Officer, Pacific Meridian Holdings Ltd.</w:t>
      </w:r>
      <w:r>
        <w:br/>
      </w:r>
      <w:r>
        <w:t xml:space="preserve">Date: ____________________</w:t>
      </w:r>
    </w:p>
    <w:p>
      <w:pPr>
        <w:pStyle w:val="BodyText"/>
      </w:pPr>
      <w:r>
        <w:t xml:space="preserve">Quotation Estimate QTE-TYO-2025-04871 | Banker Services | Japan Tokyo | Page 1 of 1</w:t>
      </w:r>
      <w:r>
        <w:br/>
      </w:r>
      <w:r>
        <w:t xml:space="preserve">This document is confidential and intended solely for the named recipient. Unauthorized distribution is prohibited under the laws of Japan.</w:t>
      </w:r>
      <w:r>
        <w:br/>
      </w:r>
      <w:r>
        <w:t xml:space="preserve">© 2025 Pacific Meridian Holdings Ltd.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Japan Tokyo</dc:title>
  <dc:creator/>
  <dc:language>en</dc:language>
  <cp:keywords/>
  <dcterms:created xsi:type="dcterms:W3CDTF">2026-10-10T07:33:45Z</dcterms:created>
  <dcterms:modified xsi:type="dcterms:W3CDTF">2026-10-10T07:33:45Z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