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Banker Engagement &amp; Advisory Services</w:t>
      </w:r>
    </w:p>
    <w:p>
      <w:pPr>
        <w:pStyle w:val="BodyText"/>
      </w:pPr>
      <w:r>
        <w:t xml:space="preserve">Reference No: QE-ALM-2025-0472 | Date: 15 June 2025</w:t>
      </w:r>
    </w:p>
    <w:bookmarkEnd w:id="20"/>
    <w:p>
      <w:pPr>
        <w:pStyle w:val="BodyText"/>
      </w:pPr>
      <w:r>
        <w:rPr>
          <w:bCs/>
          <w:b/>
        </w:rPr>
        <w:t xml:space="preserve">Prepared By:</w:t>
      </w:r>
      <w:r>
        <w:br/>
      </w:r>
      <w:r>
        <w:t xml:space="preserve">Central Eurasian Banking Advisory Group</w:t>
      </w:r>
      <w:r>
        <w:br/>
      </w:r>
      <w:r>
        <w:t xml:space="preserve">55 Abai Avenue, Office 1204</w:t>
      </w:r>
      <w:r>
        <w:br/>
      </w:r>
      <w:r>
        <w:t xml:space="preserve">Almaty, 050040, Kazakhstan</w:t>
      </w:r>
      <w:r>
        <w:br/>
      </w:r>
      <w:r>
        <w:t xml:space="preserve">Tel: +7 (727) 312-4567</w:t>
      </w:r>
      <w:r>
        <w:br/>
      </w:r>
      <w:r>
        <w:t xml:space="preserve">Email: quotes@cebag-kz.com</w:t>
      </w:r>
    </w:p>
    <w:p>
      <w:pPr>
        <w:pStyle w:val="BodyText"/>
      </w:pPr>
      <w:r>
        <w:rPr>
          <w:bCs/>
          <w:b/>
        </w:rPr>
        <w:t xml:space="preserve">Prepared For:</w:t>
      </w:r>
      <w:r>
        <w:br/>
      </w:r>
      <w:r>
        <w:t xml:space="preserve">Tenge Capital Holdings LLP</w:t>
      </w:r>
      <w:r>
        <w:br/>
      </w:r>
      <w:r>
        <w:t xml:space="preserve">22 Dostyk Avenue, Floor 8</w:t>
      </w:r>
      <w:r>
        <w:br/>
      </w:r>
      <w:r>
        <w:t xml:space="preserve">Almaty, 050000, Kazakhstan</w:t>
      </w:r>
      <w:r>
        <w:br/>
      </w:r>
      <w:r>
        <w:t xml:space="preserve">Contact: Mr. Arman Bekov, CFO</w:t>
      </w:r>
      <w:r>
        <w:br/>
      </w:r>
      <w:r>
        <w:t xml:space="preserve">Email: a.bekov@tengecapital.kz</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Central Eurasian Banking Advisory Group (hereinafter referred to as "the Provider") in response to the formal request submitted by Tenge Capital Holdings LLP (hereinafter referred to as "the Client") for the engagement of a senior</w:t>
      </w:r>
      <w:r>
        <w:t xml:space="preserve"> </w:t>
      </w:r>
      <w:r>
        <w:t xml:space="preserve">Banker</w:t>
      </w:r>
      <w:r>
        <w:t xml:space="preserve"> </w:t>
      </w:r>
      <w:r>
        <w:t xml:space="preserve">and associated advisory services to be delivered within the jurisdiction of</w:t>
      </w:r>
      <w:r>
        <w:t xml:space="preserve"> </w:t>
      </w:r>
      <w:r>
        <w:t xml:space="preserve">Kazakhstan Almaty</w:t>
      </w:r>
      <w:r>
        <w:t xml:space="preserve">. This document outlines the scope of work, deliverables, fee structure, and commercial terms governing the proposed engagement. The</w:t>
      </w:r>
      <w:r>
        <w:t xml:space="preserve"> </w:t>
      </w:r>
      <w:r>
        <w:t xml:space="preserve">Banker</w:t>
      </w:r>
      <w:r>
        <w:t xml:space="preserve"> </w:t>
      </w:r>
      <w:r>
        <w:t xml:space="preserve">services described herein are tailored specifically to the regulatory, financial, and operational environment of</w:t>
      </w:r>
      <w:r>
        <w:t xml:space="preserve"> </w:t>
      </w:r>
      <w:r>
        <w:t xml:space="preserve">Kazakhstan Almaty</w:t>
      </w:r>
      <w:r>
        <w:t xml:space="preserve">, ensuring full compliance with the National Bank of Kazakhstan (NBK) regulations and local banking standards.</w:t>
      </w:r>
    </w:p>
    <w:bookmarkEnd w:id="21"/>
    <w:bookmarkStart w:id="22"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engagement encompasses the following professional services to be rendered in</w:t>
      </w:r>
      <w:r>
        <w:t xml:space="preserve"> </w:t>
      </w:r>
      <w:r>
        <w:t xml:space="preserve">Kazakhstan Almaty</w:t>
      </w:r>
      <w:r>
        <w:t xml:space="preserve">:</w:t>
      </w:r>
    </w:p>
    <w:p>
      <w:pPr>
        <w:numPr>
          <w:ilvl w:val="0"/>
          <w:numId w:val="1001"/>
        </w:numPr>
        <w:pStyle w:val="Compact"/>
      </w:pPr>
      <w:r>
        <w:t xml:space="preserve">Strategic banking advisory and portfolio restructuring for corporate clients operating in the Almaty financial district.</w:t>
      </w:r>
    </w:p>
    <w:p>
      <w:pPr>
        <w:numPr>
          <w:ilvl w:val="0"/>
          <w:numId w:val="1001"/>
        </w:numPr>
        <w:pStyle w:val="Compact"/>
      </w:pPr>
      <w:r>
        <w:t xml:space="preserve">Regulatory compliance review aligned with NBK directives and the Banking Code of the Republic of Kazakhstan.</w:t>
      </w:r>
    </w:p>
    <w:p>
      <w:pPr>
        <w:numPr>
          <w:ilvl w:val="0"/>
          <w:numId w:val="1001"/>
        </w:numPr>
        <w:pStyle w:val="Compact"/>
      </w:pPr>
      <w:r>
        <w:t xml:space="preserve">Trade finance structuring, including letters of credit, documentary collections, and export-credit facilities relevant to Kazakhstan's trade corridors.</w:t>
      </w:r>
    </w:p>
    <w:p>
      <w:pPr>
        <w:numPr>
          <w:ilvl w:val="0"/>
          <w:numId w:val="1001"/>
        </w:numPr>
        <w:pStyle w:val="Compact"/>
      </w:pPr>
      <w:r>
        <w:t xml:space="preserve">Relationship management and negotiation support with Tier-1 and Tier-2 banks headquartered in Almaty.</w:t>
      </w:r>
    </w:p>
    <w:p>
      <w:pPr>
        <w:numPr>
          <w:ilvl w:val="0"/>
          <w:numId w:val="1001"/>
        </w:numPr>
        <w:pStyle w:val="Compact"/>
      </w:pPr>
      <w:r>
        <w:t xml:space="preserve">Due diligence and credit assessment for cross-border transactions involving the tenge (KZT) and major international currencies.</w:t>
      </w:r>
    </w:p>
    <w:p>
      <w:pPr>
        <w:numPr>
          <w:ilvl w:val="0"/>
          <w:numId w:val="1001"/>
        </w:numPr>
        <w:pStyle w:val="Compact"/>
      </w:pPr>
      <w:r>
        <w:t xml:space="preserve">Quarterly risk reporting and liquidity planning specific to the</w:t>
      </w:r>
      <w:r>
        <w:t xml:space="preserve"> </w:t>
      </w:r>
      <w:r>
        <w:t xml:space="preserve">Kazakhstan Almaty</w:t>
      </w:r>
      <w:r>
        <w:t xml:space="preserve"> </w:t>
      </w:r>
      <w:r>
        <w:t xml:space="preserve">banking market.</w:t>
      </w:r>
    </w:p>
    <w:bookmarkEnd w:id="22"/>
    <w:bookmarkStart w:id="23" w:name="fee-schedule-and-line-items"/>
    <w:p>
      <w:pPr>
        <w:pStyle w:val="Heading2"/>
      </w:pPr>
      <w:r>
        <w:t xml:space="preserve">3. Fee Schedule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Banker – Strategic Advisory &amp; Portfolio Management (on-site in Almaty, 3 days/week)</w:t>
            </w:r>
          </w:p>
        </w:tc>
        <w:tc>
          <w:tcPr/>
          <w:p>
            <w:pPr>
              <w:pStyle w:val="Compact"/>
              <w:jc w:val="left"/>
            </w:pPr>
            <w:r>
              <w:t xml:space="preserve">6 months</w:t>
            </w:r>
          </w:p>
        </w:tc>
        <w:tc>
          <w:tcPr/>
          <w:p>
            <w:pPr>
              <w:pStyle w:val="Compact"/>
              <w:jc w:val="left"/>
            </w:pPr>
            <w:r>
              <w:t xml:space="preserve">12,500 / month</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Regulatory Compliance Audit – NBK &amp; Kazakhstan Banking Code Alignment</w:t>
            </w:r>
          </w:p>
        </w:tc>
        <w:tc>
          <w:tcPr/>
          <w:p>
            <w:pPr>
              <w:pStyle w:val="Compact"/>
              <w:jc w:val="left"/>
            </w:pPr>
            <w:r>
              <w:t xml:space="preserve">One-time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Trade Finance Structuring &amp; Documentation (up to 15 transactions)</w:t>
            </w:r>
          </w:p>
        </w:tc>
        <w:tc>
          <w:tcPr/>
          <w:p>
            <w:pPr>
              <w:pStyle w:val="Compact"/>
              <w:jc w:val="left"/>
            </w:pPr>
            <w:r>
              <w:t xml:space="preserve">6 months</w:t>
            </w:r>
          </w:p>
        </w:tc>
        <w:tc>
          <w:tcPr/>
          <w:p>
            <w:pPr>
              <w:pStyle w:val="Compact"/>
              <w:jc w:val="left"/>
            </w:pPr>
            <w:r>
              <w:t xml:space="preserve">1,800 / txn</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Bank Relationship Negotiation &amp; Facility Restructuring (Almaty-based banks)</w:t>
            </w:r>
          </w:p>
        </w:tc>
        <w:tc>
          <w:tcPr/>
          <w:p>
            <w:pPr>
              <w:pStyle w:val="Compact"/>
              <w:jc w:val="left"/>
            </w:pPr>
            <w:r>
              <w:t xml:space="preserve">3 sessions</w:t>
            </w:r>
          </w:p>
        </w:tc>
        <w:tc>
          <w:tcPr/>
          <w:p>
            <w:pPr>
              <w:pStyle w:val="Compact"/>
              <w:jc w:val="left"/>
            </w:pPr>
            <w:r>
              <w:t xml:space="preserve">3,500 / session</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Cross-Border Credit Assessment &amp; Due Diligence (KZT / USD / EUR)</w:t>
            </w:r>
          </w:p>
        </w:tc>
        <w:tc>
          <w:tcPr/>
          <w:p>
            <w:pPr>
              <w:pStyle w:val="Compact"/>
              <w:jc w:val="left"/>
            </w:pPr>
            <w:r>
              <w:t xml:space="preserve">4 assessments</w:t>
            </w:r>
          </w:p>
        </w:tc>
        <w:tc>
          <w:tcPr/>
          <w:p>
            <w:pPr>
              <w:pStyle w:val="Compact"/>
              <w:jc w:val="left"/>
            </w:pPr>
            <w:r>
              <w:t xml:space="preserve">2,750 / assessment</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Quarterly Risk &amp; Liquidity Reporting – Kazakhstan Almaty Market</w:t>
            </w:r>
          </w:p>
        </w:tc>
        <w:tc>
          <w:tcPr/>
          <w:p>
            <w:pPr>
              <w:pStyle w:val="Compact"/>
              <w:jc w:val="left"/>
            </w:pPr>
            <w:r>
              <w:t xml:space="preserve">2 quarters</w:t>
            </w:r>
          </w:p>
        </w:tc>
        <w:tc>
          <w:tcPr/>
          <w:p>
            <w:pPr>
              <w:pStyle w:val="Compact"/>
              <w:jc w:val="left"/>
            </w:pPr>
            <w:r>
              <w:t xml:space="preserve">4,000 / quarter</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Travel, Accommodation &amp; Local Logistics within Almaty, Kazakhstan</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Contingency &amp; Miscellaneous Professional Fees (5%)</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8,445.00</w:t>
            </w:r>
          </w:p>
        </w:tc>
      </w:tr>
      <w:tr>
        <w:tc>
          <w:tcPr>
            <w:gridSpan w:val="4"/>
          </w:tcPr>
          <w:p>
            <w:pPr>
              <w:pStyle w:val="Compact"/>
              <w:jc w:val="right"/>
            </w:pPr>
            <w:r>
              <w:t xml:space="preserve">TOTAL ESTIMATED FEE (USD)</w:t>
            </w:r>
          </w:p>
        </w:tc>
        <w:tc>
          <w:tcPr/>
          <w:p>
            <w:pPr>
              <w:pStyle w:val="Compact"/>
              <w:jc w:val="left"/>
            </w:pPr>
            <w:r>
              <w:t xml:space="preserve">155,345.00</w:t>
            </w:r>
          </w:p>
        </w:tc>
      </w:tr>
      <w:tr>
        <w:tc>
          <w:tcPr>
            <w:gridSpan w:val="4"/>
          </w:tcPr>
          <w:p>
            <w:pPr>
              <w:pStyle w:val="Compact"/>
              <w:jc w:val="right"/>
            </w:pPr>
            <w:r>
              <w:t xml:space="preserve">VAT (12% – Kazakhstan Standard Rate)</w:t>
            </w:r>
          </w:p>
        </w:tc>
        <w:tc>
          <w:tcPr/>
          <w:p>
            <w:pPr>
              <w:pStyle w:val="Compact"/>
              <w:jc w:val="left"/>
            </w:pPr>
            <w:r>
              <w:t xml:space="preserve">18,641.40</w:t>
            </w:r>
          </w:p>
        </w:tc>
      </w:tr>
      <w:tr>
        <w:tc>
          <w:tcPr>
            <w:gridSpan w:val="4"/>
          </w:tcPr>
          <w:p>
            <w:pPr>
              <w:pStyle w:val="Compact"/>
              <w:jc w:val="right"/>
            </w:pPr>
            <w:r>
              <w:t xml:space="preserve">GRAND TOTAL (USD, VAT inclusive)</w:t>
            </w:r>
          </w:p>
        </w:tc>
        <w:tc>
          <w:tcPr/>
          <w:p>
            <w:pPr>
              <w:pStyle w:val="Compact"/>
              <w:jc w:val="left"/>
            </w:pPr>
            <w:r>
              <w:t xml:space="preserve">173,986.40</w:t>
            </w:r>
          </w:p>
        </w:tc>
      </w:tr>
    </w:tbl>
    <w:bookmarkEnd w:id="23"/>
    <w:bookmarkStart w:id="24" w:name="payment-terms"/>
    <w:p>
      <w:pPr>
        <w:pStyle w:val="Heading2"/>
      </w:pPr>
      <w:r>
        <w:t xml:space="preserve">4. Payment Terms</w:t>
      </w:r>
    </w:p>
    <w:p>
      <w:pPr>
        <w:pStyle w:val="FirstParagraph"/>
      </w:pPr>
      <w:r>
        <w:t xml:space="preserve">All fees set forth in this</w:t>
      </w:r>
      <w:r>
        <w:t xml:space="preserve"> </w:t>
      </w:r>
      <w:r>
        <w:t xml:space="preserve">Quotation Estimate</w:t>
      </w:r>
      <w:r>
        <w:t xml:space="preserve"> </w:t>
      </w:r>
      <w:r>
        <w:t xml:space="preserve">shall be invoiced monthly in arrears. Payment is due within twenty-one (21) calendar days of the invoice date via wire transfer to the Provider's designated account at a licensed bank in</w:t>
      </w:r>
      <w:r>
        <w:t xml:space="preserve"> </w:t>
      </w:r>
      <w:r>
        <w:t xml:space="preserve">Kazakhstan Almaty</w:t>
      </w:r>
      <w:r>
        <w:t xml:space="preserve">. The initial mobilization fee of 20% of the total contract value shall be payable upon execution of the definitive service agreement. Late payments shall accrue interest at the rate of 1.5% per month, consistent with prevailing commercial banking rates in Almaty.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Thereafter, fees and availability of the designated</w:t>
      </w:r>
      <w:r>
        <w:t xml:space="preserve"> </w:t>
      </w:r>
      <w:r>
        <w:t xml:space="preserve">Banker</w:t>
      </w:r>
      <w:r>
        <w:t xml:space="preserve"> </w:t>
      </w:r>
      <w:r>
        <w:t xml:space="preserve">are subject to reconfirmation.</w:t>
      </w:r>
    </w:p>
    <w:p>
      <w:pPr>
        <w:numPr>
          <w:ilvl w:val="0"/>
          <w:numId w:val="1002"/>
        </w:numPr>
        <w:pStyle w:val="Compact"/>
      </w:pPr>
      <w:r>
        <w:t xml:space="preserve">The</w:t>
      </w:r>
      <w:r>
        <w:t xml:space="preserve"> </w:t>
      </w:r>
      <w:r>
        <w:t xml:space="preserve">Banker</w:t>
      </w:r>
      <w:r>
        <w:t xml:space="preserve"> </w:t>
      </w:r>
      <w:r>
        <w:t xml:space="preserve">shall operate in strict accordance with the Banking Code of the Republic of Kazakhstan, NBK licensing requirements, and all applicable anti-money-laundering (AML) and counter-terrorism financing (CTF) regulations in force in</w:t>
      </w:r>
      <w:r>
        <w:t xml:space="preserve"> </w:t>
      </w:r>
      <w:r>
        <w:t xml:space="preserve">Kazakhstan Almaty</w:t>
      </w:r>
      <w:r>
        <w:t xml:space="preserve">.</w:t>
      </w:r>
    </w:p>
    <w:p>
      <w:pPr>
        <w:numPr>
          <w:ilvl w:val="0"/>
          <w:numId w:val="1002"/>
        </w:numPr>
        <w:pStyle w:val="Compact"/>
      </w:pPr>
      <w:r>
        <w:t xml:space="preserve">All work product, reports, and advisory memoranda produced under this engagement shall remain the exclusive intellectual property of the Client upon full payment of the fees specified herein.</w:t>
      </w:r>
    </w:p>
    <w:p>
      <w:pPr>
        <w:numPr>
          <w:ilvl w:val="0"/>
          <w:numId w:val="1002"/>
        </w:numPr>
        <w:pStyle w:val="Compact"/>
      </w:pPr>
      <w:r>
        <w:t xml:space="preserve">The Provider reserves the right to substitute the assigned</w:t>
      </w:r>
      <w:r>
        <w:t xml:space="preserve"> </w:t>
      </w:r>
      <w:r>
        <w:t xml:space="preserve">Banker</w:t>
      </w:r>
      <w:r>
        <w:t xml:space="preserve"> </w:t>
      </w:r>
      <w:r>
        <w:t xml:space="preserve">with a professional of equivalent or superior seniority, subject to the Client's written approval, should unforeseen circumstances arise.</w:t>
      </w:r>
    </w:p>
    <w:p>
      <w:pPr>
        <w:numPr>
          <w:ilvl w:val="0"/>
          <w:numId w:val="1002"/>
        </w:numPr>
        <w:pStyle w:val="Compact"/>
      </w:pPr>
      <w:r>
        <w:t xml:space="preserve">Neither party shall be liable for delays or non-performance caused by force majeure events, including but not limited to natural disasters, government sanctions, or systemic banking disruptions in Kazakhstan.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definitive Service Agreement, incorporating the terms herein, must be executed by both parties before any</w:t>
      </w:r>
      <w:r>
        <w:t xml:space="preserve"> </w:t>
      </w:r>
      <w:r>
        <w:t xml:space="preserve">Banker</w:t>
      </w:r>
      <w:r>
        <w:t xml:space="preserve"> </w:t>
      </w:r>
      <w:r>
        <w:t xml:space="preserve">services commence in</w:t>
      </w:r>
      <w:r>
        <w:t xml:space="preserve"> </w:t>
      </w:r>
      <w:r>
        <w:t xml:space="preserve">Kazakhstan Almaty</w:t>
      </w:r>
      <w:r>
        <w:t xml:space="preserve">.</w:t>
      </w:r>
    </w:p>
    <w:p>
      <w:pPr>
        <w:numPr>
          <w:ilvl w:val="0"/>
          <w:numId w:val="1002"/>
        </w:numPr>
        <w:pStyle w:val="Compact"/>
      </w:pPr>
      <w:r>
        <w:t xml:space="preserve">All disputes arising from or in connection with this engagement shall be resolved through arbitration under the rules of the International Arbitration Centre at the Astana International Financial Centre (AIFC), Kazakhstan.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fee structure outlined in this</w:t>
      </w:r>
      <w:r>
        <w:t xml:space="preserve"> </w:t>
      </w:r>
      <w:r>
        <w:t xml:space="preserve">Quotation Estimate</w:t>
      </w:r>
      <w:r>
        <w:t xml:space="preserve"> </w:t>
      </w:r>
      <w:r>
        <w:t xml:space="preserve">for the engagement of a</w:t>
      </w:r>
      <w:r>
        <w:t xml:space="preserve"> </w:t>
      </w:r>
      <w:r>
        <w:t xml:space="preserve">Banker</w:t>
      </w:r>
      <w:r>
        <w:t xml:space="preserve"> </w:t>
      </w:r>
      <w:r>
        <w:t xml:space="preserve">in</w:t>
      </w:r>
      <w:r>
        <w:t xml:space="preserve"> </w:t>
      </w:r>
      <w:r>
        <w:t xml:space="preserve">Kazakhstan Almaty</w:t>
      </w:r>
      <w:r>
        <w:t xml:space="preserve">. This acceptance does not obligate either party to execute the definitive agreement but confirms mutual intent to proceed toward a formal contractual arrangement.</w:t>
      </w:r>
    </w:p>
    <w:p>
      <w:pPr>
        <w:pStyle w:val="BodyText"/>
      </w:pPr>
      <w:r>
        <w:rPr>
          <w:bCs/>
          <w:b/>
        </w:rPr>
        <w:t xml:space="preserve">For and on behalf of the Provider:</w:t>
      </w:r>
      <w:r>
        <w:br/>
      </w:r>
      <w:r>
        <w:t xml:space="preserve">Central Eurasian Banking Advisory Group</w:t>
      </w:r>
    </w:p>
    <w:p>
      <w:pPr>
        <w:pStyle w:val="BodyText"/>
      </w:pPr>
      <w:r>
        <w:t xml:space="preserve">Name: ___________________________</w:t>
      </w:r>
      <w:r>
        <w:br/>
      </w:r>
      <w:r>
        <w:t xml:space="preserve">Title: Managing Director</w:t>
      </w:r>
      <w:r>
        <w:br/>
      </w:r>
      <w:r>
        <w:t xml:space="preserve">Signature &amp; Date: ___________________________</w:t>
      </w:r>
    </w:p>
    <w:p>
      <w:pPr>
        <w:pStyle w:val="BodyText"/>
      </w:pPr>
      <w:r>
        <w:rPr>
          <w:bCs/>
          <w:b/>
        </w:rPr>
        <w:t xml:space="preserve">For and on behalf of the Client:</w:t>
      </w:r>
      <w:r>
        <w:br/>
      </w:r>
      <w:r>
        <w:t xml:space="preserve">Tenge Capital Holdings LLP</w:t>
      </w:r>
    </w:p>
    <w:p>
      <w:pPr>
        <w:pStyle w:val="BodyText"/>
      </w:pPr>
      <w:r>
        <w:t xml:space="preserve">Name: ___________________________</w:t>
      </w:r>
      <w:r>
        <w:br/>
      </w:r>
      <w:r>
        <w:t xml:space="preserve">Title: Chief Financial Officer</w:t>
      </w:r>
      <w:r>
        <w:br/>
      </w:r>
      <w:r>
        <w:t xml:space="preserve">Signature &amp; Date: ___________________________</w:t>
      </w:r>
    </w:p>
    <w:p>
      <w:pPr>
        <w:pStyle w:val="BodyText"/>
      </w:pPr>
      <w:r>
        <w:t xml:space="preserve">This Quotation Estimate (Ref: QE-ALM-2025-0472) is a confidential commercial document prepared exclusively for Tenge Capital Holdings LLP. It is not for distribution, reproduction, or disclosure to third parties without the prior written consent of Central Eurasian Banking Advisory Group. All references to "Banker" denote a licensed and qualified banking professional operating under the regulatory framework of Kazakhstan Almaty.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Kazakhstan Almaty</dc:title>
  <dc:creator/>
  <dc:language>en</dc:language>
  <cp:keywords/>
  <dcterms:created xsi:type="dcterms:W3CDTF">2026-10-10T07:01:45Z</dcterms:created>
  <dcterms:modified xsi:type="dcterms:W3CDTF">2026-10-10T07:01:45Z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