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Banker Services &amp; Corporate Financial Advisory</w:t>
      </w:r>
    </w:p>
    <w:p>
      <w:pPr>
        <w:pStyle w:val="BodyText"/>
      </w:pPr>
      <w:r>
        <w:t xml:space="preserve">Savannah Corporate Banking Solutions Ltd.</w:t>
      </w:r>
    </w:p>
    <w:p>
      <w:pPr>
        <w:pStyle w:val="BodyText"/>
      </w:pPr>
      <w:r>
        <w:t xml:space="preserve">Waiyaki Way, Nairobi, Kenya | P.O. Box 12345-00100, Nairobi</w:t>
      </w:r>
    </w:p>
    <w:p>
      <w:pPr>
        <w:pStyle w:val="BodyText"/>
      </w:pPr>
      <w:r>
        <w:t xml:space="preserve">Tel: +254 700 123 456 | Email: quotations@savannahbanking.co.ke</w:t>
      </w:r>
    </w:p>
    <w:p>
      <w:pPr>
        <w:pStyle w:val="BodyText"/>
      </w:pPr>
      <w:r>
        <w:t xml:space="preserve">OFFICIAL QUOTATION ESTIMATE – KENYA NAIROBI</w:t>
      </w:r>
    </w:p>
    <w:bookmarkEnd w:id="20"/>
    <w:p>
      <w:pPr>
        <w:pStyle w:val="BodyText"/>
      </w:pPr>
      <w:r>
        <w:rPr>
          <w:bCs/>
          <w:b/>
        </w:rPr>
        <w:t xml:space="preserve">Quotation No.:</w:t>
      </w:r>
      <w:r>
        <w:t xml:space="preserve"> </w:t>
      </w:r>
      <w:r>
        <w:t xml:space="preserve">QTE-2025-NBO-0487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East African Manufacturing Group Ltd.</w:t>
      </w:r>
      <w:r>
        <w:br/>
      </w:r>
      <w:r>
        <w:t xml:space="preserve">Industrial Area, Nairobi, Kenya</w:t>
      </w:r>
      <w:r>
        <w:br/>
      </w:r>
      <w:r>
        <w:t xml:space="preserve">P.O. Box 67890-00200, Nairobi</w:t>
      </w:r>
    </w:p>
    <w:bookmarkStart w:id="21" w:name="introduction-scope-of-services"/>
    <w:p>
      <w:pPr>
        <w:pStyle w:val="Heading2"/>
      </w:pPr>
      <w:r>
        <w:t xml:space="preserve">1. Introduction &amp; Scope of Services</w:t>
      </w:r>
    </w:p>
    <w:p>
      <w:pPr>
        <w:pStyle w:val="FirstParagraph"/>
      </w:pPr>
      <w:r>
        <w:t xml:space="preserve">This</w:t>
      </w:r>
      <w:r>
        <w:t xml:space="preserve"> </w:t>
      </w:r>
      <w:r>
        <w:t xml:space="preserve">Quotation Estimate</w:t>
      </w:r>
      <w:r>
        <w:t xml:space="preserve"> </w:t>
      </w:r>
      <w:r>
        <w:t xml:space="preserve">is formally issued by Savannah Corporate Banking Solutions Ltd. to East African Manufacturing Group Ltd. for the provision of dedicated</w:t>
      </w:r>
      <w:r>
        <w:t xml:space="preserve"> </w:t>
      </w:r>
      <w:r>
        <w:t xml:space="preserve">Banker</w:t>
      </w:r>
      <w:r>
        <w:t xml:space="preserve"> </w:t>
      </w:r>
      <w:r>
        <w:t xml:space="preserve">services and comprehensive corporate financial advisory within the</w:t>
      </w:r>
      <w:r>
        <w:t xml:space="preserve"> </w:t>
      </w:r>
      <w:r>
        <w:t xml:space="preserve">Kenya Nairobi</w:t>
      </w:r>
      <w:r>
        <w:t xml:space="preserve"> </w:t>
      </w:r>
      <w:r>
        <w:t xml:space="preserve">metropolitan region. The scope of this engagement encompasses the assignment of a senior corporate Banker who shall serve as the primary financial liaison, treasury management specialist, and strategic banking advisor to the client's operations headquartered in Nairobi, Kenya.</w:t>
      </w:r>
    </w:p>
    <w:p>
      <w:pPr>
        <w:pStyle w:val="BodyText"/>
      </w:pPr>
      <w:r>
        <w:t xml:space="preserve">The Banker services outlined in this Quotation Estimate are designed to meet the specific regulatory requirements of the Central Bank of Kenya (CBK), comply with the Banking Act 2006 of Kenya, and align with the operational needs of mid-to-large enterprises operating within the Nairobi financial corridor. All services shall be delivered in accordance with the highest professional standards expected of a licensed banking institution operating in Kenya Nairobi.</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Cost (KES)</w:t>
            </w:r>
          </w:p>
        </w:tc>
        <w:tc>
          <w:tcPr/>
          <w:p>
            <w:pPr>
              <w:pStyle w:val="Compact"/>
              <w:jc w:val="left"/>
            </w:pPr>
            <w:r>
              <w:t xml:space="preserve">Total (KES)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Assignment of Senior Corporate Banker – Full-time dedicated account management, relationship oversight, and day-to-day banking coordination in Kenya Nairobi</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c>
          <w:tcPr/>
          <w:p>
            <w:pPr>
              <w:pStyle w:val="Compact"/>
              <w:jc w:val="left"/>
            </w:pPr>
            <w:r>
              <w:t xml:space="preserve">Monthly retainer</w:t>
            </w:r>
          </w:p>
        </w:tc>
      </w:tr>
      <w:tr>
        <w:tc>
          <w:tcPr/>
          <w:p>
            <w:pPr>
              <w:pStyle w:val="Compact"/>
              <w:jc w:val="left"/>
            </w:pPr>
            <w:r>
              <w:t xml:space="preserve">2</w:t>
            </w:r>
          </w:p>
        </w:tc>
        <w:tc>
          <w:tcPr/>
          <w:p>
            <w:pPr>
              <w:pStyle w:val="Compact"/>
              <w:jc w:val="left"/>
            </w:pPr>
            <w:r>
              <w:t xml:space="preserve">Treasury Management &amp; Cash Flow Advisory – Daily liquidity planning, interbank fund transfers, and foreign exchange hedging strategies tailored to Nairobi operations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Monthly retainer</w:t>
            </w:r>
          </w:p>
        </w:tc>
      </w:tr>
      <w:tr>
        <w:tc>
          <w:tcPr/>
          <w:p>
            <w:pPr>
              <w:pStyle w:val="Compact"/>
              <w:jc w:val="left"/>
            </w:pPr>
            <w:r>
              <w:t xml:space="preserve">3</w:t>
            </w:r>
          </w:p>
        </w:tc>
        <w:tc>
          <w:tcPr/>
          <w:p>
            <w:pPr>
              <w:pStyle w:val="Compact"/>
              <w:jc w:val="left"/>
            </w:pPr>
            <w:r>
              <w:t xml:space="preserve">Trade Finance &amp; Documentary Credit Services – Letter of credit issuance, bank guarantees, and export/import financing for Kenya Nairobi trade operations</w:t>
            </w:r>
          </w:p>
        </w:tc>
        <w:tc>
          <w:tcPr/>
          <w:p>
            <w:pPr>
              <w:pStyle w:val="Compact"/>
              <w:jc w:val="left"/>
            </w:pPr>
            <w:r>
              <w:t xml:space="preserve">Per Transaction</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Est. 12 transactions</w:t>
            </w:r>
          </w:p>
        </w:tc>
      </w:tr>
      <w:tr>
        <w:tc>
          <w:tcPr/>
          <w:p>
            <w:pPr>
              <w:pStyle w:val="Compact"/>
              <w:jc w:val="left"/>
            </w:pPr>
            <w:r>
              <w:t xml:space="preserve">4</w:t>
            </w:r>
          </w:p>
        </w:tc>
        <w:tc>
          <w:tcPr/>
          <w:p>
            <w:pPr>
              <w:pStyle w:val="Compact"/>
              <w:jc w:val="left"/>
            </w:pPr>
            <w:r>
              <w:t xml:space="preserve">Regulatory Compliance &amp; CBK Reporting – Quarterly compliance audits, AML/KYC documentation, and statutory filings with the Central Bank of Kenya</w:t>
            </w:r>
          </w:p>
        </w:tc>
        <w:tc>
          <w:tcPr/>
          <w:p>
            <w:pPr>
              <w:pStyle w:val="Compact"/>
              <w:jc w:val="left"/>
            </w:pPr>
            <w:r>
              <w:t xml:space="preserve">4 Quarters</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Per quarter</w:t>
            </w:r>
          </w:p>
        </w:tc>
      </w:tr>
      <w:tr>
        <w:tc>
          <w:tcPr/>
          <w:p>
            <w:pPr>
              <w:pStyle w:val="Compact"/>
              <w:jc w:val="left"/>
            </w:pPr>
            <w:r>
              <w:t xml:space="preserve">5</w:t>
            </w:r>
          </w:p>
        </w:tc>
        <w:tc>
          <w:tcPr/>
          <w:p>
            <w:pPr>
              <w:pStyle w:val="Compact"/>
              <w:jc w:val="left"/>
            </w:pPr>
            <w:r>
              <w:t xml:space="preserve">Strategic Banking Advisory &amp; Board-Level Presentations – Quarterly strategy sessions, capital structure reviews, and investment banking introductions in the Nairobi financial market</w:t>
            </w:r>
          </w:p>
        </w:tc>
        <w:tc>
          <w:tcPr/>
          <w:p>
            <w:pPr>
              <w:pStyle w:val="Compact"/>
              <w:jc w:val="left"/>
            </w:pPr>
            <w:r>
              <w:t xml:space="preserve">4 Sessions</w:t>
            </w:r>
          </w:p>
        </w:tc>
        <w:tc>
          <w:tcPr/>
          <w:p>
            <w:pPr>
              <w:pStyle w:val="Compact"/>
              <w:jc w:val="left"/>
            </w:pPr>
            <w:r>
              <w:t xml:space="preserve">150,000</w:t>
            </w:r>
          </w:p>
        </w:tc>
        <w:tc>
          <w:tcPr/>
          <w:p>
            <w:pPr>
              <w:pStyle w:val="Compact"/>
              <w:jc w:val="left"/>
            </w:pPr>
            <w:r>
              <w:t xml:space="preserve">600,000</w:t>
            </w:r>
          </w:p>
        </w:tc>
        <w:tc>
          <w:tcPr/>
          <w:p>
            <w:pPr>
              <w:pStyle w:val="Compact"/>
              <w:jc w:val="left"/>
            </w:pPr>
            <w:r>
              <w:t xml:space="preserve">Per session</w:t>
            </w:r>
          </w:p>
        </w:tc>
      </w:tr>
      <w:tr>
        <w:tc>
          <w:tcPr/>
          <w:p>
            <w:pPr>
              <w:pStyle w:val="Compact"/>
              <w:jc w:val="left"/>
            </w:pPr>
            <w:r>
              <w:t xml:space="preserve">6</w:t>
            </w:r>
          </w:p>
        </w:tc>
        <w:tc>
          <w:tcPr/>
          <w:p>
            <w:pPr>
              <w:pStyle w:val="Compact"/>
              <w:jc w:val="left"/>
            </w:pPr>
            <w:r>
              <w:t xml:space="preserve">On-site Banker Support &amp; Field Visits – Physical presence at client premises in Nairobi for operational oversight, staff training, and system integration</w:t>
            </w:r>
          </w:p>
        </w:tc>
        <w:tc>
          <w:tcPr/>
          <w:p>
            <w:pPr>
              <w:pStyle w:val="Compact"/>
              <w:jc w:val="left"/>
            </w:pPr>
            <w:r>
              <w:t xml:space="preserve">24 Visits</w:t>
            </w:r>
          </w:p>
        </w:tc>
        <w:tc>
          <w:tcPr/>
          <w:p>
            <w:pPr>
              <w:pStyle w:val="Compact"/>
              <w:jc w:val="left"/>
            </w:pPr>
            <w:r>
              <w:t xml:space="preserve">18,000</w:t>
            </w:r>
          </w:p>
        </w:tc>
        <w:tc>
          <w:tcPr/>
          <w:p>
            <w:pPr>
              <w:pStyle w:val="Compact"/>
              <w:jc w:val="left"/>
            </w:pPr>
            <w:r>
              <w:t xml:space="preserve">432,000</w:t>
            </w:r>
          </w:p>
        </w:tc>
        <w:tc>
          <w:tcPr/>
          <w:p>
            <w:pPr>
              <w:pStyle w:val="Compact"/>
              <w:jc w:val="left"/>
            </w:pPr>
            <w:r>
              <w:t xml:space="preserve">Bi-weekly</w:t>
            </w:r>
          </w:p>
        </w:tc>
      </w:tr>
      <w:tr>
        <w:tc>
          <w:tcPr/>
          <w:p>
            <w:pPr>
              <w:pStyle w:val="Compact"/>
              <w:jc w:val="left"/>
            </w:pPr>
            <w:r>
              <w:t xml:space="preserve">7</w:t>
            </w:r>
          </w:p>
        </w:tc>
        <w:tc>
          <w:tcPr/>
          <w:p>
            <w:pPr>
              <w:pStyle w:val="Compact"/>
              <w:jc w:val="left"/>
            </w:pPr>
            <w:r>
              <w:t xml:space="preserve">Technology &amp; Digital Banking Integration – Implementation of corporate internet banking, API integrations, and mobile banking solutions for Kenya Nairobi branch network</w:t>
            </w:r>
          </w:p>
        </w:tc>
        <w:tc>
          <w:tcPr/>
          <w:p>
            <w:pPr>
              <w:pStyle w:val="Compact"/>
              <w:jc w:val="left"/>
            </w:pPr>
            <w:r>
              <w:t xml:space="preserve">One-time</w:t>
            </w:r>
          </w:p>
        </w:tc>
        <w:tc>
          <w:tcPr/>
          <w:p>
            <w:pPr>
              <w:pStyle w:val="Compact"/>
              <w:jc w:val="left"/>
            </w:pPr>
            <w:r>
              <w:t xml:space="preserve">1,000,000</w:t>
            </w:r>
          </w:p>
        </w:tc>
        <w:tc>
          <w:tcPr/>
          <w:p>
            <w:pPr>
              <w:pStyle w:val="Compact"/>
              <w:jc w:val="left"/>
            </w:pPr>
            <w:r>
              <w:t xml:space="preserve">1,000,000</w:t>
            </w:r>
          </w:p>
        </w:tc>
        <w:tc>
          <w:tcPr/>
          <w:p>
            <w:pPr>
              <w:pStyle w:val="Compact"/>
              <w:jc w:val="left"/>
            </w:pPr>
            <w:r>
              <w:t xml:space="preserve">Setup + 3-mo support</w:t>
            </w:r>
          </w:p>
        </w:tc>
      </w:tr>
      <w:tr>
        <w:tc>
          <w:tcPr/>
          <w:p>
            <w:pPr>
              <w:pStyle w:val="Compact"/>
              <w:jc w:val="left"/>
            </w:pPr>
            <w:r>
              <w:t xml:space="preserve">8</w:t>
            </w:r>
          </w:p>
        </w:tc>
        <w:tc>
          <w:tcPr/>
          <w:p>
            <w:pPr>
              <w:pStyle w:val="Compact"/>
              <w:jc w:val="left"/>
            </w:pPr>
            <w:r>
              <w:t xml:space="preserve">Contingency &amp; Emergency Banking Response – 24/7 access to senior Banker for urgent liquidity needs, crisis management, and emergency credit facilities</w:t>
            </w:r>
          </w:p>
        </w:tc>
        <w:tc>
          <w:tcPr/>
          <w:p>
            <w:pPr>
              <w:pStyle w:val="Compact"/>
              <w:jc w:val="left"/>
            </w:pPr>
            <w:r>
              <w:t xml:space="preserve">12 Months</w:t>
            </w:r>
          </w:p>
        </w:tc>
        <w:tc>
          <w:tcPr/>
          <w:p>
            <w:pPr>
              <w:pStyle w:val="Compact"/>
              <w:jc w:val="left"/>
            </w:pPr>
            <w:r>
              <w:t xml:space="preserve">50,000</w:t>
            </w:r>
          </w:p>
        </w:tc>
        <w:tc>
          <w:tcPr/>
          <w:p>
            <w:pPr>
              <w:pStyle w:val="Compact"/>
              <w:jc w:val="left"/>
            </w:pPr>
            <w:r>
              <w:t xml:space="preserve">600,000</w:t>
            </w:r>
          </w:p>
        </w:tc>
        <w:tc>
          <w:tcPr/>
          <w:p>
            <w:pPr>
              <w:pStyle w:val="Compact"/>
              <w:jc w:val="left"/>
            </w:pPr>
            <w:r>
              <w:t xml:space="preserve">Annual fee</w:t>
            </w:r>
          </w:p>
        </w:tc>
      </w:tr>
      <w:tr>
        <w:tc>
          <w:tcPr>
            <w:gridSpan w:val="4"/>
          </w:tcPr>
          <w:p>
            <w:pPr>
              <w:pStyle w:val="Compact"/>
              <w:jc w:val="left"/>
            </w:pPr>
            <w:r>
              <w:t xml:space="preserve">SUBTOTAL (KES)</w:t>
            </w:r>
          </w:p>
        </w:tc>
        <w:tc>
          <w:tcPr/>
          <w:p>
            <w:pPr>
              <w:pStyle w:val="Compact"/>
              <w:jc w:val="left"/>
            </w:pPr>
            <w:r>
              <w:t xml:space="preserve">8,412,000</w:t>
            </w:r>
          </w:p>
        </w:tc>
        <w:tc>
          <w:tcPr/>
          <w:p>
            <w:pPr>
              <w:pStyle w:val="Compact"/>
            </w:pPr>
          </w:p>
        </w:tc>
      </w:tr>
      <w:tr>
        <w:tc>
          <w:tcPr>
            <w:gridSpan w:val="4"/>
          </w:tcPr>
          <w:p>
            <w:pPr>
              <w:pStyle w:val="Compact"/>
              <w:jc w:val="left"/>
            </w:pPr>
            <w:r>
              <w:t xml:space="preserve">VAT @ 16% (Kenya Revenue Authority)</w:t>
            </w:r>
          </w:p>
        </w:tc>
        <w:tc>
          <w:tcPr/>
          <w:p>
            <w:pPr>
              <w:pStyle w:val="Compact"/>
              <w:jc w:val="left"/>
            </w:pPr>
            <w:r>
              <w:t xml:space="preserve">1,345,920</w:t>
            </w:r>
          </w:p>
        </w:tc>
        <w:tc>
          <w:tcPr/>
          <w:p>
            <w:pPr>
              <w:pStyle w:val="Compact"/>
            </w:pPr>
          </w:p>
        </w:tc>
      </w:tr>
      <w:tr>
        <w:tc>
          <w:tcPr>
            <w:gridSpan w:val="4"/>
          </w:tcPr>
          <w:p>
            <w:pPr>
              <w:pStyle w:val="Compact"/>
              <w:jc w:val="left"/>
            </w:pPr>
            <w:r>
              <w:t xml:space="preserve">GRAND TOTAL (KES)</w:t>
            </w:r>
          </w:p>
        </w:tc>
        <w:tc>
          <w:tcPr/>
          <w:p>
            <w:pPr>
              <w:pStyle w:val="Compact"/>
              <w:jc w:val="left"/>
            </w:pPr>
            <w:r>
              <w:t xml:space="preserve">9,757,920</w:t>
            </w:r>
          </w:p>
        </w:tc>
        <w:tc>
          <w:tcPr/>
          <w:p>
            <w:pPr>
              <w:pStyle w:val="Compact"/>
            </w:pP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all rates and terms are subject to revision based on prevailing market conditions in Kenya Nairobi.</w:t>
      </w:r>
    </w:p>
    <w:p>
      <w:pPr>
        <w:numPr>
          <w:ilvl w:val="0"/>
          <w:numId w:val="1001"/>
        </w:numPr>
        <w:pStyle w:val="Compact"/>
      </w:pPr>
      <w:r>
        <w:rPr>
          <w:bCs/>
          <w:b/>
        </w:rPr>
        <w:t xml:space="preserve">Payment Terms:</w:t>
      </w:r>
      <w:r>
        <w:t xml:space="preserve"> </w:t>
      </w:r>
      <w:r>
        <w:t xml:space="preserve">A non-refundable deposit of 30% of the Grand Total shall be payable upon acceptance of this Quotation Estimate. The remaining 70% shall be invoiced monthly in arrears, payable within fourteen (14) days of invoice date via bank transfer to our designated account at a licensed commercial bank in Nairobi, Kenya.</w:t>
      </w:r>
    </w:p>
    <w:p>
      <w:pPr>
        <w:numPr>
          <w:ilvl w:val="0"/>
          <w:numId w:val="1001"/>
        </w:numPr>
        <w:pStyle w:val="Compact"/>
      </w:pPr>
      <w:r>
        <w:rPr>
          <w:bCs/>
          <w:b/>
        </w:rPr>
        <w:t xml:space="preserve">Banker Assignment:</w:t>
      </w:r>
      <w:r>
        <w:t xml:space="preserve"> </w:t>
      </w:r>
      <w:r>
        <w:t xml:space="preserve">The dedicated Banker assigned under this Quotation Estimate shall be a Chartered Banker (CB) or equivalent, with a minimum of ten (10) years of experience in corporate banking within the East African region. The Banker shall report directly to the client's Chief Financial Officer and shall maintain strict confidentiality in accordance with the Data Protection Act, 2019 of Kenya.</w:t>
      </w:r>
    </w:p>
    <w:p>
      <w:pPr>
        <w:numPr>
          <w:ilvl w:val="0"/>
          <w:numId w:val="1001"/>
        </w:numPr>
        <w:pStyle w:val="Compact"/>
      </w:pPr>
      <w:r>
        <w:rPr>
          <w:bCs/>
          <w:b/>
        </w:rPr>
        <w:t xml:space="preserve">Regulatory Compliance:</w:t>
      </w:r>
      <w:r>
        <w:t xml:space="preserve"> </w:t>
      </w:r>
      <w:r>
        <w:t xml:space="preserve">All services rendered under this Quotation Estimate shall comply with the regulations of the Central Bank of Kenya, the Capital Markets Authority (where applicable), and the Kenya Revenue Authority. The Banker shall ensure all transactions are properly documented and reported as required by Kenyan banking law.</w:t>
      </w:r>
    </w:p>
    <w:p>
      <w:pPr>
        <w:numPr>
          <w:ilvl w:val="0"/>
          <w:numId w:val="1001"/>
        </w:numPr>
        <w:pStyle w:val="Compact"/>
      </w:pPr>
      <w:r>
        <w:rPr>
          <w:bCs/>
          <w:b/>
        </w:rPr>
        <w:t xml:space="preserve">Termination:</w:t>
      </w:r>
      <w:r>
        <w:t xml:space="preserve"> </w:t>
      </w:r>
      <w:r>
        <w:t xml:space="preserve">Either party may terminate this engagement with sixty (60) days written notice. Upon termination, all outstanding fees for services rendered up to the termination date shall be due and payable. The Banker shall facilitate a smooth transition of all banking relationships and records.</w:t>
      </w:r>
    </w:p>
    <w:p>
      <w:pPr>
        <w:numPr>
          <w:ilvl w:val="0"/>
          <w:numId w:val="1001"/>
        </w:numPr>
        <w:pStyle w:val="Compact"/>
      </w:pPr>
      <w:r>
        <w:rPr>
          <w:bCs/>
          <w:b/>
        </w:rPr>
        <w:t xml:space="preserve">Force Majeure:</w:t>
      </w:r>
      <w:r>
        <w:t xml:space="preserve"> </w:t>
      </w:r>
      <w:r>
        <w:t xml:space="preserve">Neither party shall be liable for failure to perform obligations under this Quotation Estimate due to events beyond reasonable control, including but not limited to natural disasters, government regulatory changes in Kenya, or systemic banking failures in Nairobi.</w:t>
      </w:r>
    </w:p>
    <w:p>
      <w:pPr>
        <w:numPr>
          <w:ilvl w:val="0"/>
          <w:numId w:val="1001"/>
        </w:numPr>
        <w:pStyle w:val="Compact"/>
      </w:pPr>
      <w:r>
        <w:rPr>
          <w:bCs/>
          <w:b/>
        </w:rPr>
        <w:t xml:space="preserve">Governing Law:</w:t>
      </w:r>
      <w:r>
        <w:t xml:space="preserve"> </w:t>
      </w:r>
      <w:r>
        <w:t xml:space="preserve">This Quotation Estimate and any resulting agreement shall be governed by and construed in accordance with the laws of the Republic of Kenya. Any disputes shall be resolved through arbitration in Nairobi, Kenya, in accordance with the Arbitration Act, 1995.</w:t>
      </w:r>
    </w:p>
    <w:p>
      <w:pPr>
        <w:numPr>
          <w:ilvl w:val="0"/>
          <w:numId w:val="1001"/>
        </w:numPr>
        <w:pStyle w:val="Compact"/>
      </w:pPr>
      <w:r>
        <w:rPr>
          <w:bCs/>
          <w:b/>
        </w:rPr>
        <w:t xml:space="preserve">Confidentiality:</w:t>
      </w:r>
      <w:r>
        <w:t xml:space="preserve"> </w:t>
      </w:r>
      <w:r>
        <w:t xml:space="preserve">All financial data, trade secrets, and proprietary information shared between the parties in connection with this Quotation Estimate shall be treated as strictly confidential and shall not be disclosed to third parties without prior written consent, except as required by Kenyan law or regulatory authority.</w:t>
      </w:r>
    </w:p>
    <w:bookmarkEnd w:id="23"/>
    <w:bookmarkStart w:id="24" w:name="acceptance-authorization"/>
    <w:p>
      <w:pPr>
        <w:pStyle w:val="Heading2"/>
      </w:pPr>
      <w:r>
        <w:t xml:space="preserve">4.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Banker</w:t>
      </w:r>
      <w:r>
        <w:t xml:space="preserve"> </w:t>
      </w:r>
      <w:r>
        <w:t xml:space="preserve">services in</w:t>
      </w:r>
      <w:r>
        <w:t xml:space="preserve"> </w:t>
      </w:r>
      <w:r>
        <w:t xml:space="preserve">Kenya Nairobi</w:t>
      </w:r>
      <w:r>
        <w:t xml:space="preserve">. This document constitutes a binding offer upon full execution by both parties.</w:t>
      </w:r>
    </w:p>
    <w:p>
      <w:pPr>
        <w:pStyle w:val="BodyText"/>
      </w:pPr>
      <w:r>
        <w:rPr>
          <w:bCs/>
          <w:b/>
        </w:rPr>
        <w:t xml:space="preserve">For: Savannah Corporate Banking Solutions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East African Manufacturing Group Ltd.</w:t>
      </w:r>
      <w:r>
        <w:br/>
      </w:r>
      <w:r>
        <w:t xml:space="preserve">Name: ___________________________</w:t>
      </w:r>
      <w:r>
        <w:br/>
      </w:r>
      <w:r>
        <w:t xml:space="preserve">Title: Chief Financial Officer</w:t>
      </w:r>
      <w:r>
        <w:br/>
      </w:r>
      <w:r>
        <w:t xml:space="preserve">Date: ___________________________</w:t>
      </w:r>
    </w:p>
    <w:p>
      <w:pPr>
        <w:pStyle w:val="BodyText"/>
      </w:pPr>
      <w:r>
        <w:t xml:space="preserve">This Quotation Estimate is the property of Savannah Corporate Banking Solutions Ltd. and is issued exclusively for the named client in Kenya Nairobi.</w:t>
      </w:r>
      <w:r>
        <w:br/>
      </w:r>
      <w:r>
        <w:t xml:space="preserve">Document Reference: QTE-2025-NBO-0487 | Page 1 of 1 | Generated: 14 June 2025</w:t>
      </w:r>
      <w:r>
        <w:br/>
      </w:r>
      <w:r>
        <w:t xml:space="preserve">© 2025 Savannah Corporate Banking Solutions Ltd. All Rights Reserved. Licensed by the Central Bank of Kenya.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Kenya Nairobi</dc:title>
  <dc:creator/>
  <dc:language>en</dc:language>
  <cp:keywords/>
  <dcterms:created xsi:type="dcterms:W3CDTF">2026-10-10T09:14:35Z</dcterms:created>
  <dcterms:modified xsi:type="dcterms:W3CDTF">2026-10-10T09:14:35Z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