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quotation-estimate"/>
    <w:p>
      <w:pPr>
        <w:pStyle w:val="Heading1"/>
      </w:pPr>
      <w:r>
        <w:t xml:space="preserve">QUOTATION ESTIMATE</w:t>
      </w:r>
    </w:p>
    <w:p>
      <w:pPr>
        <w:pStyle w:val="FirstParagraph"/>
      </w:pPr>
      <w:r>
        <w:t xml:space="preserve">Professional Banking Services &amp; Financial Advisory</w:t>
      </w:r>
    </w:p>
    <w:p>
      <w:pPr>
        <w:pStyle w:val="BodyText"/>
      </w:pPr>
      <w:r>
        <w:t xml:space="preserve">Casablanca, Morocco</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QE-CAS-2025-04782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Moroccan Dirham (MAD)</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Atlas Financial Advisory SARL</w:t>
      </w:r>
    </w:p>
    <w:p>
      <w:pPr>
        <w:pStyle w:val="BodyText"/>
      </w:pPr>
      <w:r>
        <w:rPr>
          <w:bCs/>
          <w:b/>
        </w:rPr>
        <w:t xml:space="preserve">Address:</w:t>
      </w:r>
      <w:r>
        <w:t xml:space="preserve"> </w:t>
      </w:r>
      <w:r>
        <w:t xml:space="preserve">42 Boulevard Mohammed V, Quartier Gauthier, 20000 Casablanca, Morocco</w:t>
      </w:r>
    </w:p>
    <w:p>
      <w:pPr>
        <w:pStyle w:val="BodyText"/>
      </w:pPr>
      <w:r>
        <w:rPr>
          <w:bCs/>
          <w:b/>
        </w:rPr>
        <w:t xml:space="preserve">RC:</w:t>
      </w:r>
      <w:r>
        <w:t xml:space="preserve"> </w:t>
      </w:r>
      <w:r>
        <w:t xml:space="preserve">458721 – Casablanca</w:t>
      </w:r>
    </w:p>
    <w:p>
      <w:pPr>
        <w:pStyle w:val="BodyText"/>
      </w:pPr>
      <w:r>
        <w:rPr>
          <w:bCs/>
          <w:b/>
        </w:rPr>
        <w:t xml:space="preserve">Contact:</w:t>
      </w:r>
      <w:r>
        <w:t xml:space="preserve"> </w:t>
      </w:r>
      <w:r>
        <w:t xml:space="preserve">+212 522-34-56-78 | finance@atlasfa.ma</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Casablanca, Morocco</w:t>
      </w:r>
    </w:p>
    <w:p>
      <w:pPr>
        <w:pStyle w:val="BodyText"/>
      </w:pPr>
      <w:r>
        <w:rPr>
          <w:bCs/>
          <w:b/>
        </w:rPr>
        <w:t xml:space="preserve">ICE:</w:t>
      </w:r>
      <w:r>
        <w:t xml:space="preserve"> </w:t>
      </w:r>
      <w:r>
        <w:t xml:space="preserve">[Client ICE Number]</w:t>
      </w:r>
    </w:p>
    <w:p>
      <w:pPr>
        <w:pStyle w:val="BodyText"/>
      </w:pPr>
      <w:r>
        <w:rPr>
          <w:bCs/>
          <w:b/>
        </w:rPr>
        <w:t xml:space="preserve">Contact Person:</w:t>
      </w:r>
      <w:r>
        <w:t xml:space="preserve"> </w:t>
      </w:r>
      <w:r>
        <w:t xml:space="preserve">[Name &amp; Title]</w:t>
      </w:r>
    </w:p>
    <w:bookmarkEnd w:id="23"/>
    <w:bookmarkStart w:id="24" w:name="X038bcfde7319e15ca02caf09d55468bc0fb8b5e"/>
    <w:p>
      <w:pPr>
        <w:pStyle w:val="Heading2"/>
      </w:pPr>
      <w:r>
        <w:t xml:space="preserve">1. Scope of Services – Banker Engagement in Casablanca, Morocco</w:t>
      </w:r>
    </w:p>
    <w:p>
      <w:pPr>
        <w:pStyle w:val="FirstParagraph"/>
      </w:pPr>
      <w:r>
        <w:t xml:space="preserve">This Quotation Estimate is issued by Atlas Financial Advisory SARL to provide a comprehensive and transparent cost breakdown for the engagement of a senior</w:t>
      </w:r>
      <w:r>
        <w:t xml:space="preserve"> </w:t>
      </w:r>
      <w:r>
        <w:t xml:space="preserve">Banker</w:t>
      </w:r>
      <w:r>
        <w:t xml:space="preserve"> </w:t>
      </w:r>
      <w:r>
        <w:t xml:space="preserve">and associated financial advisory services to be delivered in</w:t>
      </w:r>
      <w:r>
        <w:t xml:space="preserve"> </w:t>
      </w:r>
      <w:r>
        <w:t xml:space="preserve">Casablanca, Morocco</w:t>
      </w:r>
      <w:r>
        <w:t xml:space="preserve">. The services outlined below are designed to support the client's banking operations, corporate treasury management, regulatory compliance, and strategic financial planning within the Moroccan financial ecosystem. Casablanca, as the principal financial hub of Morocco and home to the Casablanca Finance City (CFC) and the Bank Al-Maghrib headquarters, presents a unique operational environment that demands specialized banking expertise.</w:t>
      </w:r>
    </w:p>
    <w:p>
      <w:pPr>
        <w:pStyle w:val="BodyText"/>
      </w:pPr>
      <w:r>
        <w:t xml:space="preserve">The</w:t>
      </w:r>
      <w:r>
        <w:t xml:space="preserve"> </w:t>
      </w:r>
      <w:r>
        <w:t xml:space="preserve">Banker</w:t>
      </w:r>
      <w:r>
        <w:t xml:space="preserve"> </w:t>
      </w:r>
      <w:r>
        <w:t xml:space="preserve">to be engaged under this Quotation Estimate will possess a minimum of fifteen (15) years of experience in Moroccan and international banking, with demonstrated proficiency in corporate lending, trade finance, foreign exchange operations, and compliance with the regulatory framework established by Bank Al-Maghrib and the Moroccan Central Bank. The engagement is structured to ensure seamless integration with the client's existing banking relationships across all major financial institutions operating in Casablanca, including Bank of Africa, Attijariwafa Bank, Crédit du Maroc, and Société Générale Maroc.</w:t>
      </w:r>
    </w:p>
    <w:bookmarkEnd w:id="24"/>
    <w:bookmarkStart w:id="25"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Banker – Full-time engagement for corporate treasury management, cash flow optimization, and banking relationship coordination in Casablanca</w:t>
            </w:r>
          </w:p>
        </w:tc>
        <w:tc>
          <w:tcPr/>
          <w:p>
            <w:pPr>
              <w:pStyle w:val="Compact"/>
              <w:jc w:val="left"/>
            </w:pPr>
            <w:r>
              <w:t xml:space="preserve">12 months (full-time)</w:t>
            </w:r>
          </w:p>
        </w:tc>
        <w:tc>
          <w:tcPr/>
          <w:p>
            <w:pPr>
              <w:pStyle w:val="Compact"/>
              <w:jc w:val="left"/>
            </w:pPr>
            <w:r>
              <w:t xml:space="preserve">85,000 / month</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Trade Finance &amp; Letters of Credit advisory – structuring, negotiation, and processing of import/export credit facilities with Moroccan banks</w:t>
            </w:r>
          </w:p>
        </w:tc>
        <w:tc>
          <w:tcPr/>
          <w:p>
            <w:pPr>
              <w:pStyle w:val="Compact"/>
              <w:jc w:val="left"/>
            </w:pPr>
            <w:r>
              <w:t xml:space="preserve">Per transaction (est. 24 transactions)</w:t>
            </w:r>
          </w:p>
        </w:tc>
        <w:tc>
          <w:tcPr/>
          <w:p>
            <w:pPr>
              <w:pStyle w:val="Compact"/>
              <w:jc w:val="left"/>
            </w:pPr>
            <w:r>
              <w:t xml:space="preserve">12,500 / transaction</w:t>
            </w:r>
          </w:p>
        </w:tc>
        <w:tc>
          <w:tcPr/>
          <w:p>
            <w:pPr>
              <w:pStyle w:val="Compact"/>
              <w:jc w:val="left"/>
            </w:pPr>
            <w:r>
              <w:t xml:space="preserve">300,000.00</w:t>
            </w:r>
          </w:p>
        </w:tc>
      </w:tr>
      <w:tr>
        <w:tc>
          <w:tcPr/>
          <w:p>
            <w:pPr>
              <w:pStyle w:val="Compact"/>
              <w:jc w:val="left"/>
            </w:pPr>
            <w:r>
              <w:t xml:space="preserve">03</w:t>
            </w:r>
          </w:p>
        </w:tc>
        <w:tc>
          <w:tcPr/>
          <w:p>
            <w:pPr>
              <w:pStyle w:val="Compact"/>
              <w:jc w:val="left"/>
            </w:pPr>
            <w:r>
              <w:t xml:space="preserve">Regulatory Compliance &amp; AML/KYC audit support – ensuring alignment with Bank Al-Maghrib directives and Moroccan anti-money laundering legislation (Law 43-05)</w:t>
            </w:r>
          </w:p>
        </w:tc>
        <w:tc>
          <w:tcPr/>
          <w:p>
            <w:pPr>
              <w:pStyle w:val="Compact"/>
              <w:jc w:val="left"/>
            </w:pPr>
            <w:r>
              <w:t xml:space="preserve">Quarterly (4 engagements)</w:t>
            </w:r>
          </w:p>
        </w:tc>
        <w:tc>
          <w:tcPr/>
          <w:p>
            <w:pPr>
              <w:pStyle w:val="Compact"/>
              <w:jc w:val="left"/>
            </w:pPr>
            <w:r>
              <w:t xml:space="preserve">45,000 / engagement</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Foreign Exchange &amp; Hedging Strategy – FX risk assessment, hedging instrument selection, and execution support for the client's international operations</w:t>
            </w:r>
          </w:p>
        </w:tc>
        <w:tc>
          <w:tcPr/>
          <w:p>
            <w:pPr>
              <w:pStyle w:val="Compact"/>
              <w:jc w:val="left"/>
            </w:pPr>
            <w:r>
              <w:t xml:space="preserve">Monthly advisory (12 months)</w:t>
            </w:r>
          </w:p>
        </w:tc>
        <w:tc>
          <w:tcPr/>
          <w:p>
            <w:pPr>
              <w:pStyle w:val="Compact"/>
              <w:jc w:val="left"/>
            </w:pPr>
            <w:r>
              <w:t xml:space="preserve">18,000 / month</w:t>
            </w:r>
          </w:p>
        </w:tc>
        <w:tc>
          <w:tcPr/>
          <w:p>
            <w:pPr>
              <w:pStyle w:val="Compact"/>
              <w:jc w:val="left"/>
            </w:pPr>
            <w:r>
              <w:t xml:space="preserve">216,000.00</w:t>
            </w:r>
          </w:p>
        </w:tc>
      </w:tr>
      <w:tr>
        <w:tc>
          <w:tcPr/>
          <w:p>
            <w:pPr>
              <w:pStyle w:val="Compact"/>
              <w:jc w:val="left"/>
            </w:pPr>
            <w:r>
              <w:t xml:space="preserve">05</w:t>
            </w:r>
          </w:p>
        </w:tc>
        <w:tc>
          <w:tcPr/>
          <w:p>
            <w:pPr>
              <w:pStyle w:val="Compact"/>
              <w:jc w:val="left"/>
            </w:pPr>
            <w:r>
              <w:t xml:space="preserve">Corporate Banking Relationship Management – ongoing liaison with at least four (4) banking partners in Casablanca, including CFC member institutions</w:t>
            </w:r>
          </w:p>
        </w:tc>
        <w:tc>
          <w:tcPr/>
          <w:p>
            <w:pPr>
              <w:pStyle w:val="Compact"/>
              <w:jc w:val="left"/>
            </w:pPr>
            <w:r>
              <w:t xml:space="preserve">12 months (continuous)</w:t>
            </w:r>
          </w:p>
        </w:tc>
        <w:tc>
          <w:tcPr/>
          <w:p>
            <w:pPr>
              <w:pStyle w:val="Compact"/>
              <w:jc w:val="left"/>
            </w:pPr>
            <w:r>
              <w:t xml:space="preserve">22,000 / month</w:t>
            </w:r>
          </w:p>
        </w:tc>
        <w:tc>
          <w:tcPr/>
          <w:p>
            <w:pPr>
              <w:pStyle w:val="Compact"/>
              <w:jc w:val="left"/>
            </w:pPr>
            <w:r>
              <w:t xml:space="preserve">264,000.00</w:t>
            </w:r>
          </w:p>
        </w:tc>
      </w:tr>
      <w:tr>
        <w:tc>
          <w:tcPr/>
          <w:p>
            <w:pPr>
              <w:pStyle w:val="Compact"/>
              <w:jc w:val="left"/>
            </w:pPr>
            <w:r>
              <w:t xml:space="preserve">06</w:t>
            </w:r>
          </w:p>
        </w:tc>
        <w:tc>
          <w:tcPr/>
          <w:p>
            <w:pPr>
              <w:pStyle w:val="Compact"/>
              <w:jc w:val="left"/>
            </w:pPr>
            <w:r>
              <w:t xml:space="preserve">Financial Reporting &amp; Board Advisory – monthly treasury reports, quarterly board presentations, and annual strategic banking review</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Onboarding &amp; Transition Support – initial assessment, system integration, team familiarization, and handover documentation in Casablanca</w:t>
            </w:r>
          </w:p>
        </w:tc>
        <w:tc>
          <w:tcPr/>
          <w:p>
            <w:pPr>
              <w:pStyle w:val="Compact"/>
              <w:jc w:val="left"/>
            </w:pPr>
            <w:r>
              <w:t xml:space="preserve">One-time (3 weeks)</w:t>
            </w:r>
          </w:p>
        </w:tc>
        <w:tc>
          <w:tcPr/>
          <w:p>
            <w:pPr>
              <w:pStyle w:val="Compact"/>
              <w:jc w:val="left"/>
            </w:pPr>
            <w:r>
              <w:t xml:space="preserve">95,000 (lump sum)</w:t>
            </w:r>
          </w:p>
        </w:tc>
        <w:tc>
          <w:tcPr/>
          <w:p>
            <w:pPr>
              <w:pStyle w:val="Compact"/>
              <w:jc w:val="left"/>
            </w:pPr>
            <w:r>
              <w:t xml:space="preserve">95,000.00</w:t>
            </w:r>
          </w:p>
        </w:tc>
      </w:tr>
      <w:tr>
        <w:tc>
          <w:tcPr/>
          <w:p>
            <w:pPr>
              <w:pStyle w:val="Compact"/>
              <w:jc w:val="left"/>
            </w:pPr>
            <w:r>
              <w:t xml:space="preserve">08</w:t>
            </w:r>
          </w:p>
        </w:tc>
        <w:tc>
          <w:tcPr/>
          <w:p>
            <w:pPr>
              <w:pStyle w:val="Compact"/>
              <w:jc w:val="left"/>
            </w:pPr>
            <w:r>
              <w:t xml:space="preserve">Travel, Local Transportation &amp; Office Expenses – daily commuting within Casablanca, client site visits, and banking institution meetings</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gridSpan w:val="4"/>
          </w:tcPr>
          <w:p>
            <w:pPr>
              <w:pStyle w:val="Compact"/>
              <w:jc w:val="right"/>
            </w:pPr>
            <w:r>
              <w:t xml:space="preserve">Subtotal (MAD)</w:t>
            </w:r>
          </w:p>
        </w:tc>
        <w:tc>
          <w:tcPr/>
          <w:p>
            <w:pPr>
              <w:pStyle w:val="Compact"/>
              <w:jc w:val="left"/>
            </w:pPr>
            <w:r>
              <w:t xml:space="preserve">2,357,000.00</w:t>
            </w:r>
          </w:p>
        </w:tc>
      </w:tr>
      <w:tr>
        <w:tc>
          <w:tcPr>
            <w:gridSpan w:val="4"/>
          </w:tcPr>
          <w:p>
            <w:pPr>
              <w:pStyle w:val="Compact"/>
              <w:jc w:val="right"/>
            </w:pPr>
            <w:r>
              <w:t xml:space="preserve">VAT (20% – Moroccan Value Added Tax)</w:t>
            </w:r>
          </w:p>
        </w:tc>
        <w:tc>
          <w:tcPr/>
          <w:p>
            <w:pPr>
              <w:pStyle w:val="Compact"/>
              <w:jc w:val="left"/>
            </w:pPr>
            <w:r>
              <w:t xml:space="preserve">471,400.00</w:t>
            </w:r>
          </w:p>
        </w:tc>
      </w:tr>
      <w:tr>
        <w:tc>
          <w:tcPr>
            <w:gridSpan w:val="4"/>
          </w:tcPr>
          <w:p>
            <w:pPr>
              <w:pStyle w:val="Compact"/>
              <w:jc w:val="right"/>
            </w:pPr>
            <w:r>
              <w:t xml:space="preserve">GRAND TOTAL (MAD)</w:t>
            </w:r>
          </w:p>
        </w:tc>
        <w:tc>
          <w:tcPr/>
          <w:p>
            <w:pPr>
              <w:pStyle w:val="Compact"/>
              <w:jc w:val="left"/>
            </w:pPr>
            <w:r>
              <w:t xml:space="preserve">2,828,400.00</w:t>
            </w:r>
          </w:p>
        </w:tc>
      </w:tr>
    </w:tbl>
    <w:bookmarkEnd w:id="25"/>
    <w:bookmarkStart w:id="26"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a period of thirty (30) calendar days from the date of issue. Beyond this period, all rates and terms are subject to revision based on prevailing market conditions in the Casablanca financial sector.</w:t>
      </w:r>
    </w:p>
    <w:p>
      <w:pPr>
        <w:pStyle w:val="BodyText"/>
      </w:pPr>
      <w:r>
        <w:rPr>
          <w:bCs/>
          <w:b/>
        </w:rPr>
        <w:t xml:space="preserve">3.2 Payment Terms:</w:t>
      </w:r>
      <w:r>
        <w:t xml:space="preserve"> </w:t>
      </w:r>
      <w:r>
        <w:t xml:space="preserve">Payment shall be made in Moroccan Dirhams (MAD) via bank transfer to the designated account of Atlas Financial Advisory SARL at Bank of Africa, Casablanca. Invoices are payable within thirty (30) days from the date of issuance. A 1.5% monthly late payment penalty shall apply in accordance with Moroccan commercial law.</w:t>
      </w:r>
    </w:p>
    <w:p>
      <w:pPr>
        <w:pStyle w:val="BodyText"/>
      </w:pPr>
      <w:r>
        <w:rPr>
          <w:bCs/>
          <w:b/>
        </w:rPr>
        <w:t xml:space="preserve">3.3 Engagement of the Banker:</w:t>
      </w:r>
      <w:r>
        <w:t xml:space="preserve"> </w:t>
      </w:r>
      <w:r>
        <w:t xml:space="preserve">The Banker engaged under this Quotation Estimate shall operate as an independent contractor and shall not be considered an employee of the client. The Banker shall adhere to the professional code of conduct established by the Moroccan banking sector and shall maintain full confidentiality of all client financial data.</w:t>
      </w:r>
    </w:p>
    <w:p>
      <w:pPr>
        <w:pStyle w:val="BodyText"/>
      </w:pPr>
      <w:r>
        <w:rPr>
          <w:bCs/>
          <w:b/>
        </w:rPr>
        <w:t xml:space="preserve">3.4 Regulatory Compliance:</w:t>
      </w:r>
      <w:r>
        <w:t xml:space="preserve"> </w:t>
      </w:r>
      <w:r>
        <w:t xml:space="preserve">All services rendered under this Quotation Estimate shall comply with the regulations of Bank Al-Maghrib, the Moroccan Central Bank, and the applicable provisions of the Moroccan Commercial Code. The Banker shall ensure that all banking operations conducted in Casablanca are fully aligned with current Moroccan financial regulations.</w:t>
      </w:r>
    </w:p>
    <w:p>
      <w:pPr>
        <w:pStyle w:val="BodyText"/>
      </w:pPr>
      <w:r>
        <w:rPr>
          <w:bCs/>
          <w:b/>
        </w:rPr>
        <w:t xml:space="preserve">3.5 Confidentiality:</w:t>
      </w:r>
      <w:r>
        <w:t xml:space="preserve"> </w:t>
      </w:r>
      <w:r>
        <w:t xml:space="preserve">Both parties agree to maintain strict confidentiality regarding all financial information, banking relationships, and strategic data exchanged during the term of this engagement. This obligation shall survive the termination of the contract for a period of five (5) years.</w:t>
      </w:r>
    </w:p>
    <w:p>
      <w:pPr>
        <w:pStyle w:val="BodyText"/>
      </w:pPr>
      <w:r>
        <w:rPr>
          <w:bCs/>
          <w:b/>
        </w:rPr>
        <w:t xml:space="preserve">3.6 Termination:</w:t>
      </w:r>
      <w:r>
        <w:t xml:space="preserve"> </w:t>
      </w:r>
      <w:r>
        <w:t xml:space="preserve">Either party may terminate this engagement with a written notice of sixty (60) days. In the event of early termination, the client shall be liable for all services rendered up to the effective date of termination, plus a transition fee equivalent to one (1) month of the Banker's base rate.</w:t>
      </w:r>
    </w:p>
    <w:p>
      <w:pPr>
        <w:pStyle w:val="BodyText"/>
      </w:pPr>
      <w:r>
        <w:rPr>
          <w:bCs/>
          <w:b/>
        </w:rPr>
        <w:t xml:space="preserve">3.7 Governing Law:</w:t>
      </w:r>
      <w:r>
        <w:t xml:space="preserve"> </w:t>
      </w:r>
      <w:r>
        <w:t xml:space="preserve">This Quotation Estimate and any resulting contract shall be governed by and construed in accordance with the laws of the Kingdom of Morocco. Any disputes shall be submitted to the competent commercial courts of Casablanca, Morocco.</w:t>
      </w:r>
    </w:p>
    <w:p>
      <w:pPr>
        <w:pStyle w:val="BodyText"/>
      </w:pPr>
      <w:r>
        <w:rPr>
          <w:bCs/>
          <w:b/>
        </w:rPr>
        <w:t xml:space="preserve">3.8 Force Majeure:</w:t>
      </w:r>
      <w:r>
        <w:t xml:space="preserve"> </w:t>
      </w:r>
      <w:r>
        <w:t xml:space="preserve">Neither party shall be liable for failure to perform obligations due to events beyond reasonable control, including but not limited to natural disasters, government regulatory changes affecting the Moroccan banking sector, or pandemics, provided that written notice is given within seven (7) days of the event.</w:t>
      </w:r>
    </w:p>
    <w:bookmarkEnd w:id="26"/>
    <w:bookmarkStart w:id="27"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engagement of the Banker and associated financial services in Casablanca, Morocco. This document constitutes a binding offer upon written acceptance by both parties.</w:t>
      </w:r>
    </w:p>
    <w:p>
      <w:pPr>
        <w:pStyle w:val="BodyText"/>
      </w:pPr>
      <w:r>
        <w:rPr>
          <w:bCs/>
          <w:b/>
        </w:rPr>
        <w:t xml:space="preserve">For Atlas Financial Advisory SARL</w:t>
      </w:r>
    </w:p>
    <w:p>
      <w:pPr>
        <w:pStyle w:val="BodyText"/>
      </w:pPr>
      <w:r>
        <w:t xml:space="preserve">Authorized Signatory</w:t>
      </w:r>
    </w:p>
    <w:p>
      <w:pPr>
        <w:pStyle w:val="BodyText"/>
      </w:pPr>
      <w:r>
        <w:t xml:space="preserve">Name / Signature / Date</w:t>
      </w:r>
    </w:p>
    <w:p>
      <w:pPr>
        <w:pStyle w:val="BodyText"/>
      </w:pPr>
      <w:r>
        <w:rPr>
          <w:bCs/>
          <w:b/>
        </w:rPr>
        <w:t xml:space="preserve">For the Client</w:t>
      </w:r>
    </w:p>
    <w:p>
      <w:pPr>
        <w:pStyle w:val="BodyText"/>
      </w:pPr>
      <w:r>
        <w:t xml:space="preserve">Authorized Representative</w:t>
      </w:r>
    </w:p>
    <w:p>
      <w:pPr>
        <w:pStyle w:val="BodyText"/>
      </w:pPr>
      <w:r>
        <w:t xml:space="preserve">Name / Signature / Date</w:t>
      </w:r>
    </w:p>
    <w:p>
      <w:pPr>
        <w:pStyle w:val="BodyText"/>
      </w:pPr>
      <w:r>
        <w:t xml:space="preserve">Atlas Financial Advisory SARL | 42 Boulevard Mohammed V, Casablanca 20000, Morocco | RC 458721 – Casablanca | IF 40587213</w:t>
      </w:r>
    </w:p>
    <w:p>
      <w:pPr>
        <w:pStyle w:val="BodyText"/>
      </w:pPr>
      <w:r>
        <w:t xml:space="preserve">This Quotation Estimate is a confidential document intended solely for the named client. Unauthorized reproduction or distribution is prohibited under Moroccan intellectual property law.</w:t>
      </w:r>
    </w:p>
    <w:p>
      <w:pPr>
        <w:pStyle w:val="BodyText"/>
      </w:pPr>
      <w:r>
        <w:t xml:space="preserve">Document Reference: QE-CAS-2025-04782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Banking Services - Casablanca, Morocco</dc:title>
  <dc:creator/>
  <dc:language>en</dc:language>
  <cp:keywords/>
  <dcterms:created xsi:type="dcterms:W3CDTF">2026-10-10T07:01:22Z</dcterms:created>
  <dcterms:modified xsi:type="dcterms:W3CDTF">2026-10-10T07:01:22Z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