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Yangon,</w:t>
      </w:r>
      <w:r>
        <w:t xml:space="preserve"> </w:t>
      </w:r>
      <w:r>
        <w:t xml:space="preserve">Myanmar</w:t>
      </w:r>
    </w:p>
    <w:bookmarkStart w:id="20" w:name="quotation-estimate"/>
    <w:p>
      <w:pPr>
        <w:pStyle w:val="Heading1"/>
      </w:pPr>
      <w:r>
        <w:t xml:space="preserve">QUOTATION ESTIMATE</w:t>
      </w:r>
    </w:p>
    <w:p>
      <w:pPr>
        <w:pStyle w:val="FirstParagraph"/>
      </w:pPr>
      <w:r>
        <w:t xml:space="preserve">Professional Banking Services &amp; Advisory Engagement</w:t>
      </w:r>
    </w:p>
    <w:p>
      <w:pPr>
        <w:pStyle w:val="BodyText"/>
      </w:pPr>
      <w:r>
        <w:t xml:space="preserve">Yangon, Myanmar</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QTE-MMR-YGN-2025-0472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Myanmar Kyat (MMK) / US Dollar (USD)</w:t>
            </w:r>
          </w:p>
        </w:tc>
      </w:tr>
      <w:tr>
        <w:tc>
          <w:tcPr/>
          <w:p>
            <w:pPr>
              <w:pStyle w:val="Compact"/>
              <w:jc w:val="left"/>
            </w:pPr>
            <w:r>
              <w:t xml:space="preserve">Prepared By:</w:t>
            </w:r>
          </w:p>
        </w:tc>
        <w:tc>
          <w:tcPr/>
          <w:p>
            <w:pPr>
              <w:pStyle w:val="Compact"/>
              <w:jc w:val="left"/>
            </w:pPr>
            <w:r>
              <w:t xml:space="preserve">U Kyaw Min Aung, Senior Banker &amp; Financial Advisor</w:t>
            </w:r>
          </w:p>
        </w:tc>
        <w:tc>
          <w:tcPr/>
          <w:p>
            <w:pPr>
              <w:pStyle w:val="Compact"/>
              <w:jc w:val="left"/>
            </w:pPr>
            <w:r>
              <w:t xml:space="preserve">Office Location:</w:t>
            </w:r>
          </w:p>
        </w:tc>
        <w:tc>
          <w:tcPr/>
          <w:p>
            <w:pPr>
              <w:pStyle w:val="Compact"/>
              <w:jc w:val="left"/>
            </w:pPr>
            <w:r>
              <w:t xml:space="preserve">42 Strand Road, Sanchaung Township, Yangon, Myanmar</w:t>
            </w:r>
          </w:p>
        </w:tc>
      </w:tr>
      <w:tr>
        <w:tc>
          <w:tcPr/>
          <w:p>
            <w:pPr>
              <w:pStyle w:val="Compact"/>
              <w:jc w:val="left"/>
            </w:pPr>
            <w:r>
              <w:t xml:space="preserve">Prepared For:</w:t>
            </w:r>
          </w:p>
        </w:tc>
        <w:tc>
          <w:tcPr>
            <w:gridSpan w:val="3"/>
          </w:tcPr>
          <w:p>
            <w:pPr>
              <w:pStyle w:val="Compact"/>
              <w:jc w:val="left"/>
            </w:pPr>
            <w:r>
              <w:t xml:space="preserve">[Client Name / Company Name], Yangon, Myanmar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Banker</w:t>
      </w:r>
      <w:r>
        <w:t xml:space="preserve"> </w:t>
      </w:r>
      <w:r>
        <w:t xml:space="preserve">to provide a comprehensive and itemized financial projection for the engagement of professional banking and advisory services to be delivered in</w:t>
      </w:r>
      <w:r>
        <w:t xml:space="preserve"> </w:t>
      </w:r>
      <w:r>
        <w:t xml:space="preserve">Myanmar Yangon</w:t>
      </w:r>
      <w:r>
        <w:t xml:space="preserve">. The scope of this estimate covers corporate banking facilitation, trade finance structuring, foreign exchange advisory, and ongoing account management services tailored to the regulatory and operational environment of the Yangon financial district. All figures presented herein are estimates based on current market conditions in Myanmar as of the date of issue and are subject to revision in accordance with the prevailing policies of the Central Bank of Myanmar (CBM) and applicable banking regulations.</w:t>
      </w:r>
    </w:p>
    <w:bookmarkEnd w:id="21"/>
    <w:bookmarkStart w:id="22" w:name="scope-of-banking-services"/>
    <w:p>
      <w:pPr>
        <w:pStyle w:val="Heading2"/>
      </w:pPr>
      <w:r>
        <w:t xml:space="preserve">2. Scope of Banking Services</w:t>
      </w:r>
    </w:p>
    <w:p>
      <w:pPr>
        <w:pStyle w:val="FirstParagraph"/>
      </w:pPr>
      <w:r>
        <w:t xml:space="preserve">The following services constitute the full scope of the</w:t>
      </w:r>
      <w:r>
        <w:t xml:space="preserve"> </w:t>
      </w:r>
      <w:r>
        <w:t xml:space="preserve">Banker</w:t>
      </w:r>
      <w:r>
        <w:t xml:space="preserve"> </w:t>
      </w:r>
      <w:r>
        <w:t xml:space="preserve">engagement for the client's operations in</w:t>
      </w:r>
      <w:r>
        <w:t xml:space="preserve"> </w:t>
      </w:r>
      <w:r>
        <w:t xml:space="preserve">Myanmar Yangon</w:t>
      </w:r>
      <w:r>
        <w:t xml:space="preserve">. Each service line item reflects the estimated cost, duration, and deliverables associated with the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Estimated Cost (MMK)</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Corporate Account Setup &amp; KYC Facilitation at a licensed commercial bank in Yangon</w:t>
            </w:r>
          </w:p>
        </w:tc>
        <w:tc>
          <w:tcPr/>
          <w:p>
            <w:pPr>
              <w:pStyle w:val="Compact"/>
              <w:jc w:val="left"/>
            </w:pPr>
            <w:r>
              <w:t xml:space="preserve">One-time (2–4 weeks)</w:t>
            </w:r>
          </w:p>
        </w:tc>
        <w:tc>
          <w:tcPr/>
          <w:p>
            <w:pPr>
              <w:pStyle w:val="Compact"/>
              <w:jc w:val="left"/>
            </w:pPr>
            <w:r>
              <w:t xml:space="preserve">450,000</w:t>
            </w:r>
          </w:p>
        </w:tc>
        <w:tc>
          <w:tcPr/>
          <w:p>
            <w:pPr>
              <w:pStyle w:val="Compact"/>
              <w:jc w:val="left"/>
            </w:pPr>
            <w:r>
              <w:t xml:space="preserve">275.00</w:t>
            </w:r>
          </w:p>
        </w:tc>
      </w:tr>
      <w:tr>
        <w:tc>
          <w:tcPr/>
          <w:p>
            <w:pPr>
              <w:pStyle w:val="Compact"/>
              <w:jc w:val="left"/>
            </w:pPr>
            <w:r>
              <w:t xml:space="preserve">2</w:t>
            </w:r>
          </w:p>
        </w:tc>
        <w:tc>
          <w:tcPr/>
          <w:p>
            <w:pPr>
              <w:pStyle w:val="Compact"/>
              <w:jc w:val="left"/>
            </w:pPr>
            <w:r>
              <w:t xml:space="preserve">Trade Finance Advisory – Letter of Credit (LC) structuring and documentation for import/export operations</w:t>
            </w:r>
          </w:p>
        </w:tc>
        <w:tc>
          <w:tcPr/>
          <w:p>
            <w:pPr>
              <w:pStyle w:val="Compact"/>
              <w:jc w:val="left"/>
            </w:pPr>
            <w:r>
              <w:t xml:space="preserve">Per transaction (up to 12 LCs annually)</w:t>
            </w:r>
          </w:p>
        </w:tc>
        <w:tc>
          <w:tcPr/>
          <w:p>
            <w:pPr>
              <w:pStyle w:val="Compact"/>
              <w:jc w:val="left"/>
            </w:pPr>
            <w:r>
              <w:t xml:space="preserve">1,200,000</w:t>
            </w:r>
          </w:p>
        </w:tc>
        <w:tc>
          <w:tcPr/>
          <w:p>
            <w:pPr>
              <w:pStyle w:val="Compact"/>
              <w:jc w:val="left"/>
            </w:pPr>
            <w:r>
              <w:t xml:space="preserve">733.00</w:t>
            </w:r>
          </w:p>
        </w:tc>
      </w:tr>
      <w:tr>
        <w:tc>
          <w:tcPr/>
          <w:p>
            <w:pPr>
              <w:pStyle w:val="Compact"/>
              <w:jc w:val="left"/>
            </w:pPr>
            <w:r>
              <w:t xml:space="preserve">3</w:t>
            </w:r>
          </w:p>
        </w:tc>
        <w:tc>
          <w:tcPr/>
          <w:p>
            <w:pPr>
              <w:pStyle w:val="Compact"/>
              <w:jc w:val="left"/>
            </w:pPr>
            <w:r>
              <w:t xml:space="preserve">Foreign Exchange (FX) Advisory &amp; Hedging Strategy for USD/MMK exposure</w:t>
            </w:r>
          </w:p>
        </w:tc>
        <w:tc>
          <w:tcPr/>
          <w:p>
            <w:pPr>
              <w:pStyle w:val="Compact"/>
              <w:jc w:val="left"/>
            </w:pPr>
            <w:r>
              <w:t xml:space="preserve">Monthly consultation (12 months)</w:t>
            </w:r>
          </w:p>
        </w:tc>
        <w:tc>
          <w:tcPr/>
          <w:p>
            <w:pPr>
              <w:pStyle w:val="Compact"/>
              <w:jc w:val="left"/>
            </w:pPr>
            <w:r>
              <w:t xml:space="preserve">3,600,000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Working Capital Loan Structuring &amp; Bank Liaison in Yangon</w:t>
            </w:r>
          </w:p>
        </w:tc>
        <w:tc>
          <w:tcPr/>
          <w:p>
            <w:pPr>
              <w:pStyle w:val="Compact"/>
              <w:jc w:val="left"/>
            </w:pPr>
            <w:r>
              <w:t xml:space="preserve">One-time advisory (6 weeks)</w:t>
            </w:r>
          </w:p>
        </w:tc>
        <w:tc>
          <w:tcPr/>
          <w:p>
            <w:pPr>
              <w:pStyle w:val="Compact"/>
              <w:jc w:val="left"/>
            </w:pPr>
            <w:r>
              <w:t xml:space="preserve">2,800,000</w:t>
            </w:r>
          </w:p>
        </w:tc>
        <w:tc>
          <w:tcPr/>
          <w:p>
            <w:pPr>
              <w:pStyle w:val="Compact"/>
              <w:jc w:val="left"/>
            </w:pPr>
            <w:r>
              <w:t xml:space="preserve">1,717.00</w:t>
            </w:r>
          </w:p>
        </w:tc>
      </w:tr>
      <w:tr>
        <w:tc>
          <w:tcPr/>
          <w:p>
            <w:pPr>
              <w:pStyle w:val="Compact"/>
              <w:jc w:val="left"/>
            </w:pPr>
            <w:r>
              <w:t xml:space="preserve">5</w:t>
            </w:r>
          </w:p>
        </w:tc>
        <w:tc>
          <w:tcPr/>
          <w:p>
            <w:pPr>
              <w:pStyle w:val="Compact"/>
              <w:jc w:val="left"/>
            </w:pPr>
            <w:r>
              <w:t xml:space="preserve">Regulatory Compliance Review – CBM reporting, AML/CFT documentation, and tax remittance coordination</w:t>
            </w:r>
          </w:p>
        </w:tc>
        <w:tc>
          <w:tcPr/>
          <w:p>
            <w:pPr>
              <w:pStyle w:val="Compact"/>
              <w:jc w:val="left"/>
            </w:pPr>
            <w:r>
              <w:t xml:space="preserve">Quarterly (4 engagements per year)</w:t>
            </w:r>
          </w:p>
        </w:tc>
        <w:tc>
          <w:tcPr/>
          <w:p>
            <w:pPr>
              <w:pStyle w:val="Compact"/>
              <w:jc w:val="left"/>
            </w:pPr>
            <w:r>
              <w:t xml:space="preserve">2,400,000</w:t>
            </w:r>
          </w:p>
        </w:tc>
        <w:tc>
          <w:tcPr/>
          <w:p>
            <w:pPr>
              <w:pStyle w:val="Compact"/>
              <w:jc w:val="left"/>
            </w:pPr>
            <w:r>
              <w:t xml:space="preserve">1,467.00</w:t>
            </w:r>
          </w:p>
        </w:tc>
      </w:tr>
      <w:tr>
        <w:tc>
          <w:tcPr/>
          <w:p>
            <w:pPr>
              <w:pStyle w:val="Compact"/>
              <w:jc w:val="left"/>
            </w:pPr>
            <w:r>
              <w:t xml:space="preserve">6</w:t>
            </w:r>
          </w:p>
        </w:tc>
        <w:tc>
          <w:tcPr/>
          <w:p>
            <w:pPr>
              <w:pStyle w:val="Compact"/>
              <w:jc w:val="left"/>
            </w:pPr>
            <w:r>
              <w:t xml:space="preserve">On-site Banking Operations Support at client's Yangon office (cash management, reconciliation, staff training)</w:t>
            </w:r>
          </w:p>
        </w:tc>
        <w:tc>
          <w:tcPr/>
          <w:p>
            <w:pPr>
              <w:pStyle w:val="Compact"/>
              <w:jc w:val="left"/>
            </w:pPr>
            <w:r>
              <w:t xml:space="preserve">Monthly (12 months)</w:t>
            </w:r>
          </w:p>
        </w:tc>
        <w:tc>
          <w:tcPr/>
          <w:p>
            <w:pPr>
              <w:pStyle w:val="Compact"/>
              <w:jc w:val="left"/>
            </w:pPr>
            <w:r>
              <w:t xml:space="preserve">4,800,000</w:t>
            </w:r>
          </w:p>
        </w:tc>
        <w:tc>
          <w:tcPr/>
          <w:p>
            <w:pPr>
              <w:pStyle w:val="Compact"/>
              <w:jc w:val="left"/>
            </w:pPr>
            <w:r>
              <w:t xml:space="preserve">2,933.00</w:t>
            </w:r>
          </w:p>
        </w:tc>
      </w:tr>
      <w:tr>
        <w:tc>
          <w:tcPr/>
          <w:p>
            <w:pPr>
              <w:pStyle w:val="Compact"/>
              <w:jc w:val="left"/>
            </w:pPr>
            <w:r>
              <w:t xml:space="preserve">7</w:t>
            </w:r>
          </w:p>
        </w:tc>
        <w:tc>
          <w:tcPr/>
          <w:p>
            <w:pPr>
              <w:pStyle w:val="Compact"/>
              <w:jc w:val="left"/>
            </w:pPr>
            <w:r>
              <w:t xml:space="preserve">Annual Banking Relationship Review &amp; Strategic Financial Planning Session</w:t>
            </w:r>
          </w:p>
        </w:tc>
        <w:tc>
          <w:tcPr/>
          <w:p>
            <w:pPr>
              <w:pStyle w:val="Compact"/>
              <w:jc w:val="left"/>
            </w:pPr>
            <w:r>
              <w:t xml:space="preserve">One-time (2-day workshop)</w:t>
            </w:r>
          </w:p>
        </w:tc>
        <w:tc>
          <w:tcPr/>
          <w:p>
            <w:pPr>
              <w:pStyle w:val="Compact"/>
              <w:jc w:val="left"/>
            </w:pPr>
            <w:r>
              <w:t xml:space="preserve">1,500,000</w:t>
            </w:r>
          </w:p>
        </w:tc>
        <w:tc>
          <w:tcPr/>
          <w:p>
            <w:pPr>
              <w:pStyle w:val="Compact"/>
              <w:jc w:val="left"/>
            </w:pPr>
            <w:r>
              <w:t xml:space="preserve">917.00</w:t>
            </w:r>
          </w:p>
        </w:tc>
      </w:tr>
      <w:tr>
        <w:tc>
          <w:tcPr>
            <w:gridSpan w:val="3"/>
          </w:tcPr>
          <w:p>
            <w:pPr>
              <w:pStyle w:val="Compact"/>
              <w:jc w:val="left"/>
            </w:pPr>
            <w:r>
              <w:t xml:space="preserve">TOTAL ESTIMATED ANNUAL ENGAGEMENT COST</w:t>
            </w:r>
          </w:p>
        </w:tc>
        <w:tc>
          <w:tcPr/>
          <w:p>
            <w:pPr>
              <w:pStyle w:val="Compact"/>
              <w:jc w:val="left"/>
            </w:pPr>
            <w:r>
              <w:t xml:space="preserve">16,750,000</w:t>
            </w:r>
          </w:p>
        </w:tc>
        <w:tc>
          <w:tcPr/>
          <w:p>
            <w:pPr>
              <w:pStyle w:val="Compact"/>
              <w:jc w:val="left"/>
            </w:pPr>
            <w:r>
              <w:t xml:space="preserve">10,242.00</w:t>
            </w:r>
          </w:p>
        </w:tc>
      </w:tr>
    </w:tbl>
    <w:p>
      <w:pPr>
        <w:pStyle w:val="BodyText"/>
      </w:pPr>
      <w:r>
        <w:rPr>
          <w:bCs/>
          <w:b/>
        </w:rPr>
        <w:t xml:space="preserve">Note:</w:t>
      </w:r>
      <w:r>
        <w:t xml:space="preserve"> </w:t>
      </w:r>
      <w:r>
        <w:t xml:space="preserve">The exchange rate used for this Quotation Estimate is 1 USD = 1,635 MMK, as published by the Central Bank of Myanmar on the date of issue. Actual MMK-denominated charges may vary based on the interbank rate prevailing at the time of each transaction. All fees are exclusive of applicable Myanmar government taxes, service charges levied by the host bank, and any regulatory fees imposed by the CBM or the Securities and Exchange Commission of Myanmar (SECM).</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Beyond this period, the Banker reserves the right to revise pricing to reflect changes in Myanmar's banking regulatory framework, interest rate environment, or foreign exchange volatility.</w:t>
      </w:r>
    </w:p>
    <w:p>
      <w:pPr>
        <w:numPr>
          <w:ilvl w:val="0"/>
          <w:numId w:val="1001"/>
        </w:numPr>
        <w:pStyle w:val="Compact"/>
      </w:pPr>
      <w:r>
        <w:rPr>
          <w:bCs/>
          <w:b/>
        </w:rPr>
        <w:t xml:space="preserve">Payment Terms:</w:t>
      </w:r>
      <w:r>
        <w:t xml:space="preserve"> </w:t>
      </w:r>
      <w:r>
        <w:t xml:space="preserve">A 40% advance payment is due upon acceptance of this Quotation Estimate. The remaining 60% shall be invoiced in equal monthly installments over the engagement period. Payments may be made via bank transfer to the Banker's designated account at a licensed commercial bank in Yangon.</w:t>
      </w:r>
    </w:p>
    <w:p>
      <w:pPr>
        <w:numPr>
          <w:ilvl w:val="0"/>
          <w:numId w:val="1001"/>
        </w:numPr>
        <w:pStyle w:val="Compact"/>
      </w:pPr>
      <w:r>
        <w:rPr>
          <w:bCs/>
          <w:b/>
        </w:rPr>
        <w:t xml:space="preserve">Regulatory Compliance:</w:t>
      </w:r>
      <w:r>
        <w:t xml:space="preserve"> </w:t>
      </w:r>
      <w:r>
        <w:t xml:space="preserve">All services rendered by the Banker shall comply with the Banking Law of Myanmar (2003), the Foreign Exchange Management Law, Anti-Money Laundering Law, and all directives issued by the Central Bank of Myanmar. The client is responsible for providing all necessary documentation for KYC, AML, and tax compliance purposes.</w:t>
      </w:r>
    </w:p>
    <w:p>
      <w:pPr>
        <w:numPr>
          <w:ilvl w:val="0"/>
          <w:numId w:val="1001"/>
        </w:numPr>
        <w:pStyle w:val="Compact"/>
      </w:pPr>
      <w:r>
        <w:rPr>
          <w:bCs/>
          <w:b/>
        </w:rPr>
        <w:t xml:space="preserve">Confidentiality:</w:t>
      </w:r>
      <w:r>
        <w:t xml:space="preserve"> </w:t>
      </w:r>
      <w:r>
        <w:t xml:space="preserve">The Banker undertakes to maintain strict confidentiality over all financial information, account details, and transaction records of the client in accordance with Myanmar banking secrecy provisions.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banking system disruptions, or changes in Myanmar's regulatory or political environment.</w:t>
      </w:r>
    </w:p>
    <w:p>
      <w:pPr>
        <w:numPr>
          <w:ilvl w:val="0"/>
          <w:numId w:val="1001"/>
        </w:numPr>
        <w:pStyle w:val="Compact"/>
      </w:pPr>
      <w:r>
        <w:rPr>
          <w:bCs/>
          <w:b/>
        </w:rPr>
        <w:t xml:space="preserve">Dispute Resolution:</w:t>
      </w:r>
      <w:r>
        <w:t xml:space="preserve"> </w:t>
      </w:r>
      <w:r>
        <w:t xml:space="preserve">Any disputes arising from this Quotation Estimate shall first be resolved through amicable negotiation. If unresolved within thirty (30) days, the matter shall be submitted to arbitration under the rules of the Myanmar Arbitration Centre in Yangon.</w:t>
      </w:r>
    </w:p>
    <w:p>
      <w:pPr>
        <w:numPr>
          <w:ilvl w:val="0"/>
          <w:numId w:val="1001"/>
        </w:numPr>
        <w:pStyle w:val="Compact"/>
      </w:pPr>
      <w:r>
        <w:rPr>
          <w:bCs/>
          <w:b/>
        </w:rPr>
        <w:t xml:space="preserve">Scope Changes:</w:t>
      </w:r>
      <w:r>
        <w:t xml:space="preserve"> </w:t>
      </w:r>
      <w:r>
        <w:t xml:space="preserve">Any additional services or modifications to the scope outlined in this estimate shall be subject to a supplementary Quotation Estimate issued in writing by the Banker and accepted by the client prior to commencement of the additional work.</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terms, conditions, and estimated costs for the</w:t>
      </w:r>
      <w:r>
        <w:t xml:space="preserve"> </w:t>
      </w:r>
      <w:r>
        <w:t xml:space="preserve">Banker</w:t>
      </w:r>
      <w:r>
        <w:t xml:space="preserve"> </w:t>
      </w:r>
      <w:r>
        <w:t xml:space="preserve">services to be performed in</w:t>
      </w:r>
      <w:r>
        <w:t xml:space="preserve"> </w:t>
      </w:r>
      <w:r>
        <w:t xml:space="preserve">Myanmar Yangon</w:t>
      </w:r>
      <w:r>
        <w:t xml:space="preserve">. This document does not constitute a binding contract until both parties have executed the formal Service Agreement.</w:t>
      </w:r>
    </w:p>
    <w:p>
      <w:pPr>
        <w:pStyle w:val="BodyText"/>
      </w:pPr>
      <w:r>
        <w:rPr>
          <w:bCs/>
          <w:b/>
        </w:rPr>
        <w:t xml:space="preserve">For the Banker (Service Provider)</w:t>
      </w:r>
      <w:r>
        <w:br/>
      </w:r>
      <w:r>
        <w:t xml:space="preserve">U Kyaw Min Aung</w:t>
      </w:r>
      <w:r>
        <w:br/>
      </w:r>
      <w:r>
        <w:t xml:space="preserve">Senior Banker &amp; Financial Advisor</w:t>
      </w:r>
      <w:r>
        <w:br/>
      </w:r>
      <w:r>
        <w:t xml:space="preserve">Yangon, Myanmar</w:t>
      </w:r>
      <w:r>
        <w:br/>
      </w:r>
      <w:r>
        <w:t xml:space="preserve">Date: _______________</w:t>
      </w:r>
    </w:p>
    <w:p>
      <w:pPr>
        <w:pStyle w:val="BodyText"/>
      </w:pPr>
      <w:r>
        <w:rPr>
          <w:bCs/>
          <w:b/>
        </w:rPr>
        <w:t xml:space="preserve">For the Client (Recipient)</w:t>
      </w:r>
      <w:r>
        <w:br/>
      </w:r>
      <w:r>
        <w:t xml:space="preserve">Name: _________________________</w:t>
      </w:r>
      <w:r>
        <w:br/>
      </w:r>
      <w:r>
        <w:t xml:space="preserve">Title: _________________________</w:t>
      </w:r>
      <w:r>
        <w:br/>
      </w:r>
      <w:r>
        <w:t xml:space="preserve">Company: _________________________</w:t>
      </w:r>
      <w:r>
        <w:br/>
      </w:r>
      <w:r>
        <w:t xml:space="preserve">Date: _______________</w:t>
      </w:r>
    </w:p>
    <w:p>
      <w:pPr>
        <w:pStyle w:val="BodyText"/>
      </w:pPr>
      <w:r>
        <w:t xml:space="preserve">This Quotation Estimate was prepared by a licensed Banker operating in Yangon, Myanmar. Document Reference: QTE-MMR-YGN-2025-0472.</w:t>
      </w:r>
      <w:r>
        <w:br/>
      </w:r>
      <w:r>
        <w:t xml:space="preserve">For inquiries, please contact the Banker's office at 42 Strand Road, Sanchaung Township, Yangon, Myanmar. Tel: +95-9-XXXX-XXXX | Email: banker.yangon@services.mm</w:t>
      </w:r>
      <w:r>
        <w:br/>
      </w:r>
      <w:r>
        <w:t xml:space="preserve">© 2025. All rights reserved. This document is confidential and intended solely for the named recipient.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Banking Services - Yangon, Myanmar</dc:title>
  <dc:creator/>
  <dc:language>en</dc:language>
  <cp:keywords/>
  <dcterms:created xsi:type="dcterms:W3CDTF">2026-10-10T08:32:02Z</dcterms:created>
  <dcterms:modified xsi:type="dcterms:W3CDTF">2026-10-10T08:32:02Z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