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Banker Advisory &amp; Financial Services</w:t>
      </w:r>
    </w:p>
    <w:p>
      <w:pPr>
        <w:pStyle w:val="BodyText"/>
      </w:pPr>
      <w:r>
        <w:t xml:space="preserve">Netherlands Amsterdam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QTE-AMS-2025-04871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Amsterdam Financial Advisory Group B.V.</w:t>
            </w:r>
          </w:p>
        </w:tc>
      </w:tr>
      <w:tr>
        <w:tc>
          <w:tcPr/>
          <w:p>
            <w:pPr>
              <w:pStyle w:val="Compact"/>
              <w:jc w:val="left"/>
            </w:pPr>
            <w:r>
              <w:t xml:space="preserve">Address</w:t>
            </w:r>
          </w:p>
        </w:tc>
        <w:tc>
          <w:tcPr/>
          <w:p>
            <w:pPr>
              <w:pStyle w:val="Compact"/>
              <w:jc w:val="left"/>
            </w:pPr>
            <w:r>
              <w:t xml:space="preserve">Herengracht 450, 1017 CA Amsterdam, Netherlands</w:t>
            </w:r>
          </w:p>
        </w:tc>
      </w:tr>
      <w:tr>
        <w:tc>
          <w:tcPr/>
          <w:p>
            <w:pPr>
              <w:pStyle w:val="Compact"/>
              <w:jc w:val="left"/>
            </w:pPr>
            <w:r>
              <w:t xml:space="preserve">Client Name</w:t>
            </w:r>
          </w:p>
        </w:tc>
        <w:tc>
          <w:tcPr/>
          <w:p>
            <w:pPr>
              <w:pStyle w:val="Compact"/>
              <w:jc w:val="left"/>
            </w:pPr>
            <w:r>
              <w:t xml:space="preserve">[Client / Company Name]</w:t>
            </w:r>
          </w:p>
        </w:tc>
      </w:tr>
      <w:tr>
        <w:tc>
          <w:tcPr/>
          <w:p>
            <w:pPr>
              <w:pStyle w:val="Compact"/>
              <w:jc w:val="left"/>
            </w:pPr>
            <w:r>
              <w:t xml:space="preserve">Client Address</w:t>
            </w:r>
          </w:p>
        </w:tc>
        <w:tc>
          <w:tcPr/>
          <w:p>
            <w:pPr>
              <w:pStyle w:val="Compact"/>
              <w:jc w:val="left"/>
            </w:pPr>
            <w:r>
              <w:t xml:space="preserve">[Client Address], Amsterdam, Netherlands</w:t>
            </w:r>
          </w:p>
        </w:tc>
      </w:tr>
      <w:tr>
        <w:tc>
          <w:tcPr/>
          <w:p>
            <w:pPr>
              <w:pStyle w:val="Compact"/>
              <w:jc w:val="left"/>
            </w:pPr>
            <w:r>
              <w:t xml:space="preserve">Contact Person</w:t>
            </w:r>
          </w:p>
        </w:tc>
        <w:tc>
          <w:tcPr/>
          <w:p>
            <w:pPr>
              <w:pStyle w:val="Compact"/>
              <w:jc w:val="left"/>
            </w:pPr>
            <w:r>
              <w:t xml:space="preserve">[Name], [Title]</w:t>
            </w:r>
          </w:p>
        </w:tc>
      </w:tr>
      <w:tr>
        <w:tc>
          <w:tcPr/>
          <w:p>
            <w:pPr>
              <w:pStyle w:val="Compact"/>
              <w:jc w:val="left"/>
            </w:pPr>
            <w:r>
              <w:t xml:space="preserve">Reference</w:t>
            </w:r>
          </w:p>
        </w:tc>
        <w:tc>
          <w:tcPr/>
          <w:p>
            <w:pPr>
              <w:pStyle w:val="Compact"/>
              <w:jc w:val="left"/>
            </w:pPr>
            <w:r>
              <w:t xml:space="preserve">Banker Engagement – Netherlands Amsterdam Region</w:t>
            </w:r>
          </w:p>
        </w:tc>
      </w:tr>
    </w:tbl>
    <w:bookmarkStart w:id="21" w:name="introduction-scope-of-engagement"/>
    <w:p>
      <w:pPr>
        <w:pStyle w:val="Heading2"/>
      </w:pPr>
      <w:r>
        <w:t xml:space="preserve">1. Introduction &amp; Scope of Engagement</w:t>
      </w:r>
    </w:p>
    <w:p>
      <w:pPr>
        <w:pStyle w:val="FirstParagraph"/>
      </w:pPr>
      <w:r>
        <w:t xml:space="preserve">This Quotation Estimate is issued by Amsterdam Financial Advisory Group B.V. to provide a comprehensive and transparent breakdown of costs associated with the engagement of a dedicated Banker for the Netherlands Amsterdam region. The Banker referenced in this document shall serve as the primary financial liaison, offering strategic advisory, transactional support, and ongoing portfolio management tailored specifically to the regulatory and commercial environment of Amsterdam and the broader Netherlands.</w:t>
      </w:r>
    </w:p>
    <w:p>
      <w:pPr>
        <w:pStyle w:val="BodyText"/>
      </w:pPr>
      <w:r>
        <w:t xml:space="preserve">The scope of this Quotation Estimate encompasses all professional services rendered by the assigned Banker, including but not limited to corporate banking operations, treasury management, credit facilitation, foreign exchange advisory, and compliance oversight in accordance with the Dutch Central Bank (De Nederlandsche Bank – DNB) regulations and the European Central Bank (ECB) directives applicable within the Netherlands Amsterdam jurisdiction.</w:t>
      </w:r>
    </w:p>
    <w:bookmarkEnd w:id="21"/>
    <w:bookmarkStart w:id="22" w:name="detailed-service-breakdown-pricing"/>
    <w:p>
      <w:pPr>
        <w:pStyle w:val="Heading2"/>
      </w:pPr>
      <w:r>
        <w:t xml:space="preserve">2. Detailed Service Breakdown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Banker – Corporate Advisory &amp; Relationship Management (Netherlands Amsterdam)</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Treasury &amp; Liquidity Management Services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Credit Facilitation &amp; Loan Structuring (Amsterdam Market)</w:t>
            </w:r>
          </w:p>
        </w:tc>
        <w:tc>
          <w:tcPr/>
          <w:p>
            <w:pPr>
              <w:pStyle w:val="Compact"/>
              <w:jc w:val="left"/>
            </w:pPr>
            <w:r>
              <w:t xml:space="preserve">Per engagement</w:t>
            </w:r>
          </w:p>
        </w:tc>
        <w:tc>
          <w:tcPr/>
          <w:p>
            <w:pPr>
              <w:pStyle w:val="Compact"/>
              <w:jc w:val="left"/>
            </w:pPr>
            <w:r>
              <w:t xml:space="preserve">€12,000 / transaction</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Foreign Exchange &amp; Hedging Advisory (EUR/USD, EUR/GBP)</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Regulatory Compliance &amp; AML Reporting (DNB / Netherlands)</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Quarterly Strategic Review Meetings (Amsterdam Office)</w:t>
            </w:r>
          </w:p>
        </w:tc>
        <w:tc>
          <w:tcPr/>
          <w:p>
            <w:pPr>
              <w:pStyle w:val="Compact"/>
              <w:jc w:val="left"/>
            </w:pPr>
            <w:r>
              <w:t xml:space="preserve">4 sessions</w:t>
            </w:r>
          </w:p>
        </w:tc>
        <w:tc>
          <w:tcPr/>
          <w:p>
            <w:pPr>
              <w:pStyle w:val="Compact"/>
              <w:jc w:val="left"/>
            </w:pPr>
            <w:r>
              <w:t xml:space="preserve">€1,500 / session</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Onboarding &amp; Initial Portfolio Assessment</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Ad-hoc Banker Consultation (beyond standard hours)</w:t>
            </w:r>
          </w:p>
        </w:tc>
        <w:tc>
          <w:tcPr/>
          <w:p>
            <w:pPr>
              <w:pStyle w:val="Compact"/>
              <w:jc w:val="left"/>
            </w:pPr>
            <w:r>
              <w:t xml:space="preserve">As required</w:t>
            </w:r>
          </w:p>
        </w:tc>
        <w:tc>
          <w:tcPr/>
          <w:p>
            <w:pPr>
              <w:pStyle w:val="Compact"/>
              <w:jc w:val="left"/>
            </w:pPr>
            <w:r>
              <w:t xml:space="preserve">€350 / hour</w:t>
            </w:r>
          </w:p>
        </w:tc>
        <w:tc>
          <w:tcPr/>
          <w:p>
            <w:pPr>
              <w:pStyle w:val="Compact"/>
              <w:jc w:val="left"/>
            </w:pPr>
            <w:r>
              <w:t xml:space="preserve">€7,000.00</w:t>
            </w:r>
          </w:p>
        </w:tc>
      </w:tr>
      <w:tr>
        <w:tc>
          <w:tcPr>
            <w:gridSpan w:val="4"/>
          </w:tcPr>
          <w:p>
            <w:pPr>
              <w:pStyle w:val="Compact"/>
              <w:jc w:val="left"/>
            </w:pPr>
            <w:r>
              <w:t xml:space="preserve">Subtotal (excl. VAT)</w:t>
            </w:r>
          </w:p>
        </w:tc>
        <w:tc>
          <w:tcPr/>
          <w:p>
            <w:pPr>
              <w:pStyle w:val="Compact"/>
              <w:jc w:val="left"/>
            </w:pPr>
            <w:r>
              <w:t xml:space="preserve">€405,500.00</w:t>
            </w:r>
          </w:p>
        </w:tc>
      </w:tr>
      <w:tr>
        <w:tc>
          <w:tcPr>
            <w:gridSpan w:val="4"/>
          </w:tcPr>
          <w:p>
            <w:pPr>
              <w:pStyle w:val="Compact"/>
              <w:jc w:val="left"/>
            </w:pPr>
            <w:r>
              <w:t xml:space="preserve">VAT (21% – Netherlands)</w:t>
            </w:r>
          </w:p>
        </w:tc>
        <w:tc>
          <w:tcPr/>
          <w:p>
            <w:pPr>
              <w:pStyle w:val="Compact"/>
              <w:jc w:val="left"/>
            </w:pPr>
            <w:r>
              <w:t xml:space="preserve">€85,155.00</w:t>
            </w:r>
          </w:p>
        </w:tc>
      </w:tr>
      <w:tr>
        <w:tc>
          <w:tcPr>
            <w:gridSpan w:val="4"/>
          </w:tcPr>
          <w:p>
            <w:pPr>
              <w:pStyle w:val="Compact"/>
              <w:jc w:val="left"/>
            </w:pPr>
            <w:r>
              <w:rPr>
                <w:bCs/>
                <w:b/>
              </w:rPr>
              <w:t xml:space="preserve">TOTAL (incl. VAT)</w:t>
            </w:r>
          </w:p>
        </w:tc>
        <w:tc>
          <w:tcPr/>
          <w:p>
            <w:pPr>
              <w:pStyle w:val="Compact"/>
              <w:jc w:val="left"/>
            </w:pPr>
            <w:r>
              <w:rPr>
                <w:bCs/>
                <w:b/>
              </w:rPr>
              <w:t xml:space="preserve">€490,655.00</w:t>
            </w:r>
          </w:p>
        </w:tc>
      </w:tr>
    </w:tbl>
    <w:bookmarkEnd w:id="22"/>
    <w:bookmarkStart w:id="23" w:name="terms-conditions"/>
    <w:p>
      <w:pPr>
        <w:pStyle w:val="Heading2"/>
      </w:pPr>
      <w:r>
        <w:t xml:space="preserve">3. Terms &amp; Conditions</w:t>
      </w:r>
    </w:p>
    <w:p>
      <w:pPr>
        <w:pStyle w:val="FirstParagraph"/>
      </w:pPr>
      <w:r>
        <w:rPr>
          <w:bCs/>
          <w:b/>
        </w:rPr>
        <w:t xml:space="preserve">3.1</w:t>
      </w:r>
      <w:r>
        <w:t xml:space="preserve"> </w:t>
      </w:r>
      <w:r>
        <w:t xml:space="preserve">This Quotation Estimate is valid for a period of thirty (30) calendar days from the date of issue. Beyond this period, all rates and conditions are subject to revision based on prevailing market conditions in the Netherlands Amsterdam financial sector.</w:t>
      </w:r>
    </w:p>
    <w:p>
      <w:pPr>
        <w:pStyle w:val="BodyText"/>
      </w:pPr>
      <w:r>
        <w:rPr>
          <w:bCs/>
          <w:b/>
        </w:rPr>
        <w:t xml:space="preserve">3.2</w:t>
      </w:r>
      <w:r>
        <w:t xml:space="preserve"> </w:t>
      </w:r>
      <w:r>
        <w:t xml:space="preserve">The Banker assigned under this engagement shall operate in strict compliance with the Dutch Financial Supervision Act (Wet op het financieel toezicht – Wft) and all applicable anti-money laundering (AML) regulations enforced by the Financial Intelligence Unit – Netherlands (FIU-NL).</w:t>
      </w:r>
    </w:p>
    <w:p>
      <w:pPr>
        <w:pStyle w:val="BodyText"/>
      </w:pPr>
      <w:r>
        <w:rPr>
          <w:bCs/>
          <w:b/>
        </w:rPr>
        <w:t xml:space="preserve">3.3</w:t>
      </w:r>
      <w:r>
        <w:t xml:space="preserve"> </w:t>
      </w:r>
      <w:r>
        <w:t xml:space="preserve">Payment terms: 50% of the total Quotation Estimate value shall be due upon contract execution, with the remaining 50% payable in equal monthly instalments over the twelve-month engagement period. All payments shall be made via bank transfer to the designated account of Amsterdam Financial Advisory Group B.V.</w:t>
      </w:r>
    </w:p>
    <w:p>
      <w:pPr>
        <w:pStyle w:val="BodyText"/>
      </w:pPr>
      <w:r>
        <w:rPr>
          <w:bCs/>
          <w:b/>
        </w:rPr>
        <w:t xml:space="preserve">3.4</w:t>
      </w:r>
      <w:r>
        <w:t xml:space="preserve"> </w:t>
      </w:r>
      <w:r>
        <w:t xml:space="preserve">The Banker shall provide a minimum of forty-eight (48) hours' written notice for any scheduled absence. In the event of an unplanned absence, a qualified deputy Banker shall be assigned to ensure continuity of service within the Netherlands Amsterdam region.</w:t>
      </w:r>
    </w:p>
    <w:p>
      <w:pPr>
        <w:pStyle w:val="BodyText"/>
      </w:pPr>
      <w:r>
        <w:rPr>
          <w:bCs/>
          <w:b/>
        </w:rPr>
        <w:t xml:space="preserve">3.5</w:t>
      </w:r>
      <w:r>
        <w:t xml:space="preserve"> </w:t>
      </w:r>
      <w:r>
        <w:t xml:space="preserve">All data and financial information exchanged during the engagement shall be treated as strictly confidential in accordance with the General Data Protection Regulation (GDPR) as implemented in the Netherlands. No data shall be transferred outside the European Economic Area without explicit written consent from the client.</w:t>
      </w:r>
    </w:p>
    <w:p>
      <w:pPr>
        <w:pStyle w:val="BodyText"/>
      </w:pPr>
      <w:r>
        <w:rPr>
          <w:bCs/>
          <w:b/>
        </w:rPr>
        <w:t xml:space="preserve">3.6</w:t>
      </w:r>
      <w:r>
        <w:t xml:space="preserve"> </w:t>
      </w:r>
      <w:r>
        <w:t xml:space="preserve">This Quotation Estimate does not constitute a binding contract until formally accepted in writing by both parties. Acceptance shall be evidenced by a signed engagement letter referencing this Quotation Estimate number (QTE-AMS-2025-04871).</w:t>
      </w:r>
    </w:p>
    <w:p>
      <w:pPr>
        <w:pStyle w:val="BodyText"/>
      </w:pPr>
      <w:r>
        <w:rPr>
          <w:bCs/>
          <w:b/>
        </w:rPr>
        <w:t xml:space="preserve">3.7</w:t>
      </w:r>
      <w:r>
        <w:t xml:space="preserve"> </w:t>
      </w:r>
      <w:r>
        <w:t xml:space="preserve">Any additional services beyond the scope defined herein shall be subject to a supplementary Quotation Estimate issued prior to commencement of such services.</w:t>
      </w:r>
    </w:p>
    <w:bookmarkEnd w:id="23"/>
    <w:bookmarkStart w:id="24" w:name="acceptance-signatures"/>
    <w:p>
      <w:pPr>
        <w:pStyle w:val="Heading2"/>
      </w:pPr>
      <w:r>
        <w:t xml:space="preserve">4. Acceptance &amp; Signatures</w:t>
      </w:r>
    </w:p>
    <w:p>
      <w:pPr>
        <w:pStyle w:val="FirstParagraph"/>
      </w:pPr>
      <w:r>
        <w:t xml:space="preserve">By signing below, both parties acknowledge and agree to the terms, conditions, and pricing outlined in this Quotation Estimate for the engagement of a Banker within the Netherlands Amsterdam region.</w:t>
      </w:r>
    </w:p>
    <w:p>
      <w:pPr>
        <w:pStyle w:val="BodyText"/>
      </w:pPr>
      <w:r>
        <w:rPr>
          <w:bCs/>
          <w:b/>
        </w:rPr>
        <w:t xml:space="preserve">For Amsterdam Financial Advisory Group B.V.</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Amsterdam Financial Advisory Group B.V. | KvK: 87654321 | VAT: NL861234567B01 | Herengracht 450, 1017 CA Amsterdam, Netherlands</w:t>
      </w:r>
    </w:p>
    <w:p>
      <w:pPr>
        <w:pStyle w:val="BodyText"/>
      </w:pPr>
      <w:r>
        <w:t xml:space="preserve">This Quotation Estimate is the property of Amsterdam Financial Advisory Group B.V. and is intended solely for the named client. Unauthorised reproduction or distribution is prohibited.</w:t>
      </w:r>
    </w:p>
    <w:p>
      <w:pPr>
        <w:pStyle w:val="BodyText"/>
      </w:pPr>
      <w:r>
        <w:t xml:space="preserve">Document Reference: QTE-AMS-2025-04871 | Banker Engagement | Netherlands Amsterdam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Netherlands Amsterdam</dc:title>
  <dc:creator/>
  <dc:language>en</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