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1" w:name="quotation-estimate"/>
    <w:p>
      <w:pPr>
        <w:pStyle w:val="Heading1"/>
      </w:pPr>
      <w:r>
        <w:t xml:space="preserve">QUOTATION ESTIMATE</w:t>
      </w:r>
    </w:p>
    <w:bookmarkStart w:id="20" w:name="Xe6d708ab2260cf9781d8cdde61471bee2903d1b"/>
    <w:p>
      <w:pPr>
        <w:pStyle w:val="Heading2"/>
      </w:pPr>
      <w:r>
        <w:t xml:space="preserve">Professional Banker Services — New Zealand Wellington</w:t>
      </w:r>
    </w:p>
    <w:p>
      <w:pPr>
        <w:pStyle w:val="FirstParagraph"/>
      </w:pPr>
      <w:r>
        <w:t xml:space="preserve">Capital Banking &amp; Advisory Group Ltd</w:t>
      </w:r>
      <w:r>
        <w:br/>
      </w:r>
      <w:r>
        <w:t xml:space="preserve">Level 12, 125 Featherston Street, Te Aro, Wellington 6011, New Zealand</w:t>
      </w:r>
      <w:r>
        <w:br/>
      </w:r>
      <w:r>
        <w:t xml:space="preserve">Phone: +64 4 382 7700  |  Email: quotes@capitalbanking.co.nz</w:t>
      </w:r>
    </w:p>
    <w:bookmarkEnd w:id="20"/>
    <w:bookmarkEnd w:id="21"/>
    <w:tbl>
      <w:tblPr>
        <w:tblStyle w:val="Table"/>
        <w:tblW w:type="pct" w:w="500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QTE-WLG-2025-0487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c>
          <w:tcPr/>
          <w:p>
            <w:pPr>
              <w:pStyle w:val="Compact"/>
              <w:jc w:val="left"/>
            </w:pPr>
            <w:r>
              <w:t xml:space="preserve">Currency</w:t>
            </w:r>
          </w:p>
        </w:tc>
        <w:tc>
          <w:tcPr/>
          <w:p>
            <w:pPr>
              <w:pStyle w:val="Compact"/>
              <w:jc w:val="left"/>
            </w:pPr>
            <w:r>
              <w:t xml:space="preserve">New Zealand Dollars (NZD)</w:t>
            </w:r>
          </w:p>
        </w:tc>
      </w:tr>
      <w:tr>
        <w:tc>
          <w:tcPr/>
          <w:p>
            <w:pPr>
              <w:pStyle w:val="Compact"/>
              <w:jc w:val="left"/>
            </w:pPr>
            <w:r>
              <w:t xml:space="preserve">Prepared For</w:t>
            </w:r>
          </w:p>
        </w:tc>
        <w:tc>
          <w:tcPr/>
          <w:p>
            <w:pPr>
              <w:pStyle w:val="Compact"/>
              <w:jc w:val="left"/>
            </w:pPr>
            <w:r>
              <w:t xml:space="preserve">Harbourview Property Holdings Ltd</w:t>
            </w:r>
            <w:r>
              <w:br/>
            </w:r>
            <w:r>
              <w:t xml:space="preserve">48 Lambton Quay, Wellington 6011, New Zealand</w:t>
            </w:r>
          </w:p>
        </w:tc>
        <w:tc>
          <w:tcPr/>
          <w:p>
            <w:pPr>
              <w:pStyle w:val="Compact"/>
              <w:jc w:val="left"/>
            </w:pPr>
            <w:r>
              <w:t xml:space="preserve">Prepared By</w:t>
            </w:r>
          </w:p>
        </w:tc>
        <w:tc>
          <w:tcPr/>
          <w:p>
            <w:pPr>
              <w:pStyle w:val="Compact"/>
              <w:jc w:val="left"/>
            </w:pPr>
            <w:r>
              <w:t xml:space="preserve">Mr. Jonathan R. Whitfield, Senior Banker</w:t>
            </w:r>
            <w:r>
              <w:br/>
            </w:r>
            <w:r>
              <w:t xml:space="preserve">Capital Banking &amp; Advisory Group Ltd</w:t>
            </w:r>
          </w:p>
        </w:tc>
      </w:tr>
      <w:tr>
        <w:tc>
          <w:tcPr/>
          <w:p>
            <w:pPr>
              <w:pStyle w:val="Compact"/>
              <w:jc w:val="left"/>
            </w:pPr>
            <w:r>
              <w:t xml:space="preserve">Service Location</w:t>
            </w:r>
          </w:p>
        </w:tc>
        <w:tc>
          <w:tcPr>
            <w:gridSpan w:val="3"/>
          </w:tcPr>
          <w:p>
            <w:pPr>
              <w:pStyle w:val="Compact"/>
              <w:jc w:val="left"/>
            </w:pPr>
            <w:r>
              <w:t xml:space="preserve">Wellington, New Zealand — All services to be delivered in accordance with the Financial Markets Conduct Act 2013 and Reserve Bank of New Zealand regulations.</w:t>
            </w:r>
          </w:p>
        </w:tc>
      </w:tr>
    </w:tbl>
    <w:bookmarkStart w:id="22" w:name="X0c7581080508d578c26b6d8dfd726c7e3ca5cc9"/>
    <w:p>
      <w:pPr>
        <w:pStyle w:val="Heading3"/>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Capital Banking &amp; Advisory Group Ltd to Harbourview Property Holdings Ltd in relation to the engagement of a dedicated</w:t>
      </w:r>
      <w:r>
        <w:t xml:space="preserve"> </w:t>
      </w:r>
      <w:r>
        <w:t xml:space="preserve">Banker</w:t>
      </w:r>
      <w:r>
        <w:t xml:space="preserve"> </w:t>
      </w:r>
      <w:r>
        <w:t xml:space="preserve">to provide comprehensive corporate banking, treasury management, and financial advisory services within the Wellington region of</w:t>
      </w:r>
      <w:r>
        <w:t xml:space="preserve"> </w:t>
      </w:r>
      <w:r>
        <w:t xml:space="preserve">New Zealand</w:t>
      </w:r>
      <w:r>
        <w:t xml:space="preserve">. The</w:t>
      </w:r>
      <w:r>
        <w:t xml:space="preserve"> </w:t>
      </w:r>
      <w:r>
        <w:t xml:space="preserve">Banker</w:t>
      </w:r>
      <w:r>
        <w:t xml:space="preserve"> </w:t>
      </w:r>
      <w:r>
        <w:t xml:space="preserve">assigned to this engagement will operate out of our Wellington office on Featherston Street and will serve as the primary point of contact for all banking transactions, credit facilities, and strategic financial planning activities on behalf of the client.</w:t>
      </w:r>
    </w:p>
    <w:p>
      <w:pPr>
        <w:pStyle w:val="BodyText"/>
      </w:pPr>
      <w:r>
        <w:t xml:space="preserve">This</w:t>
      </w:r>
      <w:r>
        <w:t xml:space="preserve"> </w:t>
      </w:r>
      <w:r>
        <w:t xml:space="preserve">Quotation Estimate</w:t>
      </w:r>
      <w:r>
        <w:t xml:space="preserve"> </w:t>
      </w:r>
      <w:r>
        <w:t xml:space="preserve">outlines the full scope of professional services, associated fees, and terms governing the engagement. All pricing is quoted in New Zealand Dollars (NZD) and includes Goods and Services Tax (GST) at the prevailing rate of 15% as administered by the Inland Revenue Department of New Zealand.</w:t>
      </w:r>
    </w:p>
    <w:bookmarkEnd w:id="22"/>
    <w:bookmarkStart w:id="23" w:name="itemised-services-and-fees"/>
    <w:p>
      <w:pPr>
        <w:pStyle w:val="Heading3"/>
      </w:pPr>
      <w:r>
        <w:t xml:space="preserve">2. Itemised Services and Fees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Banker Service</w:t>
            </w:r>
          </w:p>
        </w:tc>
        <w:tc>
          <w:tcPr/>
          <w:p>
            <w:pPr>
              <w:pStyle w:val="Compact"/>
              <w:jc w:val="left"/>
            </w:pPr>
            <w:r>
              <w:t xml:space="preserve">Duration / Frequency</w:t>
            </w:r>
          </w:p>
        </w:tc>
        <w:tc>
          <w:tcPr/>
          <w:p>
            <w:pPr>
              <w:pStyle w:val="Compact"/>
              <w:jc w:val="left"/>
            </w:pPr>
            <w:r>
              <w:t xml:space="preserve">Unit Rate (NZD)</w:t>
            </w:r>
          </w:p>
        </w:tc>
        <w:tc>
          <w:tcPr/>
          <w:p>
            <w:pPr>
              <w:pStyle w:val="Compact"/>
              <w:jc w:val="left"/>
            </w:pPr>
            <w:r>
              <w:t xml:space="preserve">Estimated Total (NZD)</w:t>
            </w:r>
          </w:p>
        </w:tc>
      </w:tr>
      <w:tr>
        <w:tc>
          <w:tcPr/>
          <w:p>
            <w:pPr>
              <w:pStyle w:val="Compact"/>
              <w:jc w:val="left"/>
            </w:pPr>
            <w:r>
              <w:t xml:space="preserve">2.1</w:t>
            </w:r>
          </w:p>
        </w:tc>
        <w:tc>
          <w:tcPr/>
          <w:p>
            <w:pPr>
              <w:pStyle w:val="Compact"/>
              <w:jc w:val="left"/>
            </w:pPr>
            <w:r>
              <w:t xml:space="preserve">Appointment of a dedicated Senior Banker to manage all corporate banking relationships, including account administration, transaction processing, and daily liquidity management for the client's Wellington-based operations.</w:t>
            </w:r>
          </w:p>
        </w:tc>
        <w:tc>
          <w:tcPr/>
          <w:p>
            <w:pPr>
              <w:pStyle w:val="Compact"/>
              <w:jc w:val="left"/>
            </w:pPr>
            <w:r>
              <w:t xml:space="preserve">12 months (ongoing)</w:t>
            </w:r>
          </w:p>
        </w:tc>
        <w:tc>
          <w:tcPr/>
          <w:p>
            <w:pPr>
              <w:pStyle w:val="Compact"/>
              <w:jc w:val="left"/>
            </w:pPr>
            <w:r>
              <w:t xml:space="preserve">$4,200 / month</w:t>
            </w:r>
          </w:p>
        </w:tc>
        <w:tc>
          <w:tcPr/>
          <w:p>
            <w:pPr>
              <w:pStyle w:val="Compact"/>
              <w:jc w:val="left"/>
            </w:pPr>
            <w:r>
              <w:t xml:space="preserve">$50,400.00</w:t>
            </w:r>
          </w:p>
        </w:tc>
      </w:tr>
      <w:tr>
        <w:tc>
          <w:tcPr/>
          <w:p>
            <w:pPr>
              <w:pStyle w:val="Compact"/>
              <w:jc w:val="left"/>
            </w:pPr>
            <w:r>
              <w:t xml:space="preserve">2.2</w:t>
            </w:r>
          </w:p>
        </w:tc>
        <w:tc>
          <w:tcPr/>
          <w:p>
            <w:pPr>
              <w:pStyle w:val="Compact"/>
              <w:jc w:val="left"/>
            </w:pPr>
            <w:r>
              <w:t xml:space="preserve">Treasury management and cash-flow forecasting services provided by the assigned Banker, including weekly reporting, interest rate hedging strategies, and foreign exchange risk mitigation for the client's cross-border transactions within the Pacific region.</w:t>
            </w:r>
          </w:p>
        </w:tc>
        <w:tc>
          <w:tcPr/>
          <w:p>
            <w:pPr>
              <w:pStyle w:val="Compact"/>
              <w:jc w:val="left"/>
            </w:pPr>
            <w:r>
              <w:t xml:space="preserve">12 months (ongoing)</w:t>
            </w:r>
          </w:p>
        </w:tc>
        <w:tc>
          <w:tcPr/>
          <w:p>
            <w:pPr>
              <w:pStyle w:val="Compact"/>
              <w:jc w:val="left"/>
            </w:pPr>
            <w:r>
              <w:t xml:space="preserve">$2,850 / month</w:t>
            </w:r>
          </w:p>
        </w:tc>
        <w:tc>
          <w:tcPr/>
          <w:p>
            <w:pPr>
              <w:pStyle w:val="Compact"/>
              <w:jc w:val="left"/>
            </w:pPr>
            <w:r>
              <w:t xml:space="preserve">$34,200.00</w:t>
            </w:r>
          </w:p>
        </w:tc>
      </w:tr>
      <w:tr>
        <w:tc>
          <w:tcPr/>
          <w:p>
            <w:pPr>
              <w:pStyle w:val="Compact"/>
              <w:jc w:val="left"/>
            </w:pPr>
            <w:r>
              <w:t xml:space="preserve">2.3</w:t>
            </w:r>
          </w:p>
        </w:tc>
        <w:tc>
          <w:tcPr/>
          <w:p>
            <w:pPr>
              <w:pStyle w:val="Compact"/>
              <w:jc w:val="left"/>
            </w:pPr>
            <w:r>
              <w:t xml:space="preserve">Structured credit facility arrangement and ongoing management, including a revolving credit line of up to NZD 2,500,000, term loan structuring for the client's Wellington commercial property portfolio, and quarterly covenant compliance reviews conducted by the Banker.</w:t>
            </w:r>
          </w:p>
        </w:tc>
        <w:tc>
          <w:tcPr/>
          <w:p>
            <w:pPr>
              <w:pStyle w:val="Compact"/>
              <w:jc w:val="left"/>
            </w:pPr>
            <w:r>
              <w:t xml:space="preserve">12 months (initial term)</w:t>
            </w:r>
          </w:p>
        </w:tc>
        <w:tc>
          <w:tcPr/>
          <w:p>
            <w:pPr>
              <w:pStyle w:val="Compact"/>
              <w:jc w:val="left"/>
            </w:pPr>
            <w:r>
              <w:t xml:space="preserve">Flat fee + 0.85% p.a. on drawn amounts</w:t>
            </w:r>
          </w:p>
        </w:tc>
        <w:tc>
          <w:tcPr/>
          <w:p>
            <w:pPr>
              <w:pStyle w:val="Compact"/>
              <w:jc w:val="left"/>
            </w:pPr>
            <w:r>
              <w:t xml:space="preserve">$18,600.00 (est.)</w:t>
            </w:r>
          </w:p>
        </w:tc>
      </w:tr>
      <w:tr>
        <w:tc>
          <w:tcPr/>
          <w:p>
            <w:pPr>
              <w:pStyle w:val="Compact"/>
              <w:jc w:val="left"/>
            </w:pPr>
            <w:r>
              <w:t xml:space="preserve">2.4</w:t>
            </w:r>
          </w:p>
        </w:tc>
        <w:tc>
          <w:tcPr/>
          <w:p>
            <w:pPr>
              <w:pStyle w:val="Compact"/>
              <w:jc w:val="left"/>
            </w:pPr>
            <w:r>
              <w:t xml:space="preserve">Strategic financial advisory and board-level reporting. The Banker will prepare quarterly financial performance summaries, annual budgeting support, and ad-hoc advisory sessions (up to 8 hours per quarter) to assist the client's directors in Wellington with capital allocation decisions.</w:t>
            </w:r>
          </w:p>
        </w:tc>
        <w:tc>
          <w:tcPr/>
          <w:p>
            <w:pPr>
              <w:pStyle w:val="Compact"/>
              <w:jc w:val="left"/>
            </w:pPr>
            <w:r>
              <w:t xml:space="preserve">12 months (ongoing)</w:t>
            </w:r>
          </w:p>
        </w:tc>
        <w:tc>
          <w:tcPr/>
          <w:p>
            <w:pPr>
              <w:pStyle w:val="Compact"/>
              <w:jc w:val="left"/>
            </w:pPr>
            <w:r>
              <w:t xml:space="preserve">$1,500 / hour (ad-hoc)</w:t>
            </w:r>
          </w:p>
        </w:tc>
        <w:tc>
          <w:tcPr/>
          <w:p>
            <w:pPr>
              <w:pStyle w:val="Compact"/>
              <w:jc w:val="left"/>
            </w:pPr>
            <w:r>
              <w:t xml:space="preserve">$12,000.00 (est.)</w:t>
            </w:r>
          </w:p>
        </w:tc>
      </w:tr>
      <w:tr>
        <w:tc>
          <w:tcPr/>
          <w:p>
            <w:pPr>
              <w:pStyle w:val="Compact"/>
              <w:jc w:val="left"/>
            </w:pPr>
            <w:r>
              <w:t xml:space="preserve">2.5</w:t>
            </w:r>
          </w:p>
        </w:tc>
        <w:tc>
          <w:tcPr/>
          <w:p>
            <w:pPr>
              <w:pStyle w:val="Compact"/>
              <w:jc w:val="left"/>
            </w:pPr>
            <w:r>
              <w:t xml:space="preserve">Compliance and regulatory liaison. The Banker will ensure all banking activities comply with the Financial Markets Conduct Act 2013, Anti-Money Laundering Act 2009, and Reserve Bank of New Zealand prudential requirements specific to operations in New Zealand Wellington.</w:t>
            </w:r>
          </w:p>
        </w:tc>
        <w:tc>
          <w:tcPr/>
          <w:p>
            <w:pPr>
              <w:pStyle w:val="Compact"/>
              <w:jc w:val="left"/>
            </w:pPr>
            <w:r>
              <w:t xml:space="preserve">12 months (ongoing)</w:t>
            </w:r>
          </w:p>
        </w:tc>
        <w:tc>
          <w:tcPr/>
          <w:p>
            <w:pPr>
              <w:pStyle w:val="Compact"/>
              <w:jc w:val="left"/>
            </w:pPr>
            <w:r>
              <w:t xml:space="preserve">$950 / month</w:t>
            </w:r>
          </w:p>
        </w:tc>
        <w:tc>
          <w:tcPr/>
          <w:p>
            <w:pPr>
              <w:pStyle w:val="Compact"/>
              <w:jc w:val="left"/>
            </w:pPr>
            <w:r>
              <w:t xml:space="preserve">$11,400.00</w:t>
            </w:r>
          </w:p>
        </w:tc>
      </w:tr>
      <w:tr>
        <w:tc>
          <w:tcPr/>
          <w:p>
            <w:pPr>
              <w:pStyle w:val="Compact"/>
              <w:jc w:val="left"/>
            </w:pPr>
            <w:r>
              <w:t xml:space="preserve">2.6</w:t>
            </w:r>
          </w:p>
        </w:tc>
        <w:tc>
          <w:tcPr/>
          <w:p>
            <w:pPr>
              <w:pStyle w:val="Compact"/>
              <w:jc w:val="left"/>
            </w:pPr>
            <w:r>
              <w:t xml:space="preserve">Onboarding, system integration, and initial setup. This includes the Banker's initial assessment of the client's existing banking infrastructure, migration of accounts to our Wellington platform, staff training sessions (2 days), and configuration of digital banking tools.</w:t>
            </w:r>
          </w:p>
        </w:tc>
        <w:tc>
          <w:tcPr/>
          <w:p>
            <w:pPr>
              <w:pStyle w:val="Compact"/>
              <w:jc w:val="left"/>
            </w:pPr>
            <w:r>
              <w:t xml:space="preserve">One-time (4 weeks)</w:t>
            </w:r>
          </w:p>
        </w:tc>
        <w:tc>
          <w:tcPr/>
          <w:p>
            <w:pPr>
              <w:pStyle w:val="Compact"/>
              <w:jc w:val="left"/>
            </w:pPr>
            <w:r>
              <w:t xml:space="preserve">Flat fee</w:t>
            </w:r>
          </w:p>
        </w:tc>
        <w:tc>
          <w:tcPr/>
          <w:p>
            <w:pPr>
              <w:pStyle w:val="Compact"/>
              <w:jc w:val="left"/>
            </w:pPr>
            <w:r>
              <w:t xml:space="preserve">$7,500.00</w:t>
            </w:r>
          </w:p>
        </w:tc>
      </w:tr>
      <w:tr>
        <w:tc>
          <w:tcPr/>
          <w:p>
            <w:pPr>
              <w:pStyle w:val="Compact"/>
              <w:jc w:val="left"/>
            </w:pPr>
            <w:r>
              <w:t xml:space="preserve">2.7</w:t>
            </w:r>
          </w:p>
        </w:tc>
        <w:tc>
          <w:tcPr/>
          <w:p>
            <w:pPr>
              <w:pStyle w:val="Compact"/>
              <w:jc w:val="left"/>
            </w:pPr>
            <w:r>
              <w:t xml:space="preserve">Annual review and contract renegotiation. The Banker will conduct a comprehensive annual review of all facilities, service levels, and fee structures, and present recommendations to the client's board in Wellington.</w:t>
            </w:r>
          </w:p>
        </w:tc>
        <w:tc>
          <w:tcPr/>
          <w:p>
            <w:pPr>
              <w:pStyle w:val="Compact"/>
              <w:jc w:val="left"/>
            </w:pPr>
            <w:r>
              <w:t xml:space="preserve">Annual (1x)</w:t>
            </w:r>
          </w:p>
        </w:tc>
        <w:tc>
          <w:tcPr/>
          <w:p>
            <w:pPr>
              <w:pStyle w:val="Compact"/>
              <w:jc w:val="left"/>
            </w:pPr>
            <w:r>
              <w:t xml:space="preserve">Flat fee</w:t>
            </w:r>
          </w:p>
        </w:tc>
        <w:tc>
          <w:tcPr/>
          <w:p>
            <w:pPr>
              <w:pStyle w:val="Compact"/>
              <w:jc w:val="left"/>
            </w:pPr>
            <w:r>
              <w:t xml:space="preserve">$3,200.00</w:t>
            </w:r>
          </w:p>
        </w:tc>
      </w:tr>
      <w:tr>
        <w:tc>
          <w:tcPr>
            <w:gridSpan w:val="4"/>
          </w:tcPr>
          <w:p>
            <w:pPr>
              <w:pStyle w:val="Compact"/>
              <w:jc w:val="right"/>
            </w:pPr>
            <w:r>
              <w:t xml:space="preserve">Subtotal (excl. GST)</w:t>
            </w:r>
          </w:p>
        </w:tc>
        <w:tc>
          <w:tcPr/>
          <w:p>
            <w:pPr>
              <w:pStyle w:val="Compact"/>
              <w:jc w:val="left"/>
            </w:pPr>
            <w:r>
              <w:t xml:space="preserve">$137,300.00</w:t>
            </w:r>
          </w:p>
        </w:tc>
      </w:tr>
      <w:tr>
        <w:tc>
          <w:tcPr>
            <w:gridSpan w:val="4"/>
          </w:tcPr>
          <w:p>
            <w:pPr>
              <w:pStyle w:val="Compact"/>
              <w:jc w:val="right"/>
            </w:pPr>
            <w:r>
              <w:t xml:space="preserve">GST @ 15%</w:t>
            </w:r>
          </w:p>
        </w:tc>
        <w:tc>
          <w:tcPr/>
          <w:p>
            <w:pPr>
              <w:pStyle w:val="Compact"/>
              <w:jc w:val="left"/>
            </w:pPr>
            <w:r>
              <w:t xml:space="preserve">$20,595.00</w:t>
            </w:r>
          </w:p>
        </w:tc>
      </w:tr>
      <w:tr>
        <w:tc>
          <w:tcPr>
            <w:gridSpan w:val="4"/>
          </w:tcPr>
          <w:p>
            <w:pPr>
              <w:pStyle w:val="Compact"/>
              <w:jc w:val="right"/>
            </w:pPr>
            <w:r>
              <w:t xml:space="preserve">TOTAL ESTIMATED COST (incl. GST)</w:t>
            </w:r>
          </w:p>
        </w:tc>
        <w:tc>
          <w:tcPr/>
          <w:p>
            <w:pPr>
              <w:pStyle w:val="Compact"/>
              <w:jc w:val="left"/>
            </w:pPr>
            <w:r>
              <w:t xml:space="preserve">$157,895.00</w:t>
            </w:r>
          </w:p>
        </w:tc>
      </w:tr>
    </w:tbl>
    <w:p>
      <w:pPr>
        <w:pStyle w:val="BodyText"/>
      </w:pPr>
      <w:r>
        <w:t xml:space="preserve">* All amounts are in New Zealand Dollars (NZD). GST is included at the current New Zealand rate of 15%. Credit facility interest (Ref 2.3) is an estimate based on prevailing RBNZ Official Cash Rate and may vary.</w:t>
      </w:r>
    </w:p>
    <w:bookmarkEnd w:id="23"/>
    <w:bookmarkStart w:id="24" w:name="terms-and-conditions"/>
    <w:p>
      <w:pPr>
        <w:pStyle w:val="Heading3"/>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Upon expiry, all fees and rates must be reconfirmed in writing by the assigned</w:t>
      </w:r>
      <w:r>
        <w:t xml:space="preserve"> </w:t>
      </w:r>
      <w:r>
        <w:t xml:space="preserve">Banker</w:t>
      </w:r>
      <w:r>
        <w:t xml:space="preserve"> </w:t>
      </w:r>
      <w:r>
        <w:t xml:space="preserve">before any services commence.</w:t>
      </w:r>
    </w:p>
    <w:p>
      <w:pPr>
        <w:numPr>
          <w:ilvl w:val="0"/>
          <w:numId w:val="1001"/>
        </w:numPr>
        <w:pStyle w:val="Compact"/>
      </w:pPr>
      <w:r>
        <w:t xml:space="preserve">Payment terms: Monthly invoices are issued on the last business day of each calendar month. Payment is due within fourteen (14) calendar days of invoice date via electronic funds transfer (EFT) to the bank account nominated by Capital Banking &amp; Advisory Group Ltd in Wellington, New Zealand.</w:t>
      </w:r>
    </w:p>
    <w:p>
      <w:pPr>
        <w:numPr>
          <w:ilvl w:val="0"/>
          <w:numId w:val="1001"/>
        </w:numPr>
        <w:pStyle w:val="Compact"/>
      </w:pPr>
      <w:r>
        <w:t xml:space="preserve">The</w:t>
      </w:r>
      <w:r>
        <w:t xml:space="preserve"> </w:t>
      </w:r>
      <w:r>
        <w:t xml:space="preserve">Banker</w:t>
      </w:r>
      <w:r>
        <w:t xml:space="preserve"> </w:t>
      </w:r>
      <w:r>
        <w:t xml:space="preserve">engaged under this Quotation Estimate shall be Mr. Jonathan R. Whitfield or, in his absence, a suitably qualified deputy Banker approved in writing by the client. The Banker shall devote a minimum of 60% of their professional working time to the client's affairs during the engagement period.</w:t>
      </w:r>
    </w:p>
    <w:p>
      <w:pPr>
        <w:numPr>
          <w:ilvl w:val="0"/>
          <w:numId w:val="1001"/>
        </w:numPr>
        <w:pStyle w:val="Compact"/>
      </w:pPr>
      <w:r>
        <w:t xml:space="preserve">All services shall be performed in accordance with the Financial Markets Conduct Act 2013, the Companies Act 2013, and all applicable regulations of the Reserve Bank of New Zealand and the Financial Markets Authority (FMA) as they pertain to banking operations in New Zealand Wellington.</w:t>
      </w:r>
    </w:p>
    <w:p>
      <w:pPr>
        <w:numPr>
          <w:ilvl w:val="0"/>
          <w:numId w:val="1001"/>
        </w:numPr>
        <w:pStyle w:val="Compact"/>
      </w:pPr>
      <w:r>
        <w:t xml:space="preserve">The client acknowledges that this</w:t>
      </w:r>
      <w:r>
        <w:t xml:space="preserve"> </w:t>
      </w:r>
      <w:r>
        <w:t xml:space="preserve">Quotation Estimate</w:t>
      </w:r>
      <w:r>
        <w:t xml:space="preserve"> </w:t>
      </w:r>
      <w:r>
        <w:t xml:space="preserve">constitutes a good-faith estimate of costs and does not constitute a fixed-price contract. Actual fees for variable components (e.g., interest on drawn credit facilities, ad-hoc advisory hours) may differ based on market conditions and usage.</w:t>
      </w:r>
    </w:p>
    <w:p>
      <w:pPr>
        <w:numPr>
          <w:ilvl w:val="0"/>
          <w:numId w:val="1001"/>
        </w:numPr>
        <w:pStyle w:val="Compact"/>
      </w:pPr>
      <w:r>
        <w:t xml:space="preserve">Either party may terminate the engagement with thirty (30) days' written notice. Upon termination, the Banker shall provide a full handover of all client records, outstanding transaction summaries, and compliance documentation within fourteen (14) days.</w:t>
      </w:r>
    </w:p>
    <w:p>
      <w:pPr>
        <w:numPr>
          <w:ilvl w:val="0"/>
          <w:numId w:val="1001"/>
        </w:numPr>
        <w:pStyle w:val="Compact"/>
      </w:pPr>
      <w:r>
        <w:t xml:space="preserve">All data and information exchanged between the Banker and the client shall be treated as strictly confidential in accordance with the Privacy Act 2020 of New Zealand. No information shall be disclosed to third parties without the prior written consent of the client, except as required by New Zealand law or regulatory authority.</w:t>
      </w:r>
    </w:p>
    <w:p>
      <w:pPr>
        <w:numPr>
          <w:ilvl w:val="0"/>
          <w:numId w:val="1001"/>
        </w:numPr>
        <w:pStyle w:val="Compact"/>
      </w:pPr>
      <w:r>
        <w:t xml:space="preserve">This Quotation Estimate and the resulting engagement shall be governed by and construed in accordance with the laws of New Zealand. Any disputes shall be resolved by the Disputes Tribunal or the District Court of Wellington, New Zealand.</w:t>
      </w:r>
    </w:p>
    <w:p>
      <w:pPr>
        <w:numPr>
          <w:ilvl w:val="0"/>
          <w:numId w:val="1001"/>
        </w:numPr>
        <w:pStyle w:val="Compact"/>
      </w:pPr>
      <w:r>
        <w:t xml:space="preserve">The Banker shall maintain professional indemnity insurance of no less than NZD 5,000,000 per claim throughout the duration of the engagement, with certificates of insurance available upon request.</w:t>
      </w:r>
    </w:p>
    <w:bookmarkEnd w:id="24"/>
    <w:bookmarkStart w:id="25" w:name="acceptance"/>
    <w:p>
      <w:pPr>
        <w:pStyle w:val="Heading3"/>
      </w:pPr>
      <w:r>
        <w:t xml:space="preserve">4.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fee structure outlined herein for the engagement of the</w:t>
      </w:r>
      <w:r>
        <w:t xml:space="preserve"> </w:t>
      </w:r>
      <w:r>
        <w:t xml:space="preserve">Banker</w:t>
      </w:r>
      <w:r>
        <w:t xml:space="preserve"> </w:t>
      </w:r>
      <w:r>
        <w:t xml:space="preserve">to provide professional banking and advisory services in</w:t>
      </w:r>
      <w:r>
        <w:t xml:space="preserve"> </w:t>
      </w:r>
      <w:r>
        <w:t xml:space="preserve">New Zealand Wellington</w:t>
      </w:r>
      <w:r>
        <w:t xml:space="preserve">.</w:t>
      </w:r>
    </w:p>
    <w:p>
      <w:pPr>
        <w:pStyle w:val="BodyText"/>
      </w:pPr>
      <w:r>
        <w:t xml:space="preserve">For and on behalf of Capital Banking &amp; Advisory Group Ltd</w:t>
      </w:r>
    </w:p>
    <w:p>
      <w:pPr>
        <w:pStyle w:val="BodyText"/>
      </w:pPr>
      <w:r>
        <w:t xml:space="preserve">Mr. Jonathan R. Whitfield, Senior Banker</w:t>
      </w:r>
      <w:r>
        <w:br/>
      </w:r>
      <w:r>
        <w:t xml:space="preserve">Date: ______________________</w:t>
      </w:r>
    </w:p>
    <w:p>
      <w:pPr>
        <w:pStyle w:val="BodyText"/>
      </w:pPr>
      <w:r>
        <w:t xml:space="preserve">For and on behalf of Harbourview Property Holdings Ltd</w:t>
      </w:r>
    </w:p>
    <w:p>
      <w:pPr>
        <w:pStyle w:val="BodyText"/>
      </w:pPr>
      <w:r>
        <w:t xml:space="preserve">Authorised Director / Signatory</w:t>
      </w:r>
      <w:r>
        <w:br/>
      </w:r>
      <w:r>
        <w:t xml:space="preserve">Date: ______________________</w:t>
      </w:r>
    </w:p>
    <w:p>
      <w:pPr>
        <w:pStyle w:val="BodyText"/>
      </w:pPr>
      <w:r>
        <w:t xml:space="preserve">Capital Banking &amp; Advisory Group Ltd — Registered in New Zealand (NZBN 942904123456789)</w:t>
      </w:r>
      <w:r>
        <w:br/>
      </w:r>
      <w:r>
        <w:t xml:space="preserve">Level 12, 125 Featherston Street, Te Aro, Wellington 6011, New Zealand</w:t>
      </w:r>
      <w:r>
        <w:br/>
      </w:r>
      <w:r>
        <w:t xml:space="preserve">This Quotation Estimate is the property of Capital Banking &amp; Advisory Group Ltd and may not be reproduced without written consent.</w:t>
      </w:r>
      <w:r>
        <w:br/>
      </w:r>
      <w:r>
        <w:t xml:space="preserve">© 2025 Capital Banking &amp; Advisory Group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New Zealand Wellington</dc:title>
  <dc:creator/>
  <dc:language>en</dc:language>
  <cp:keywords/>
  <dcterms:created xsi:type="dcterms:W3CDTF">2026-10-10T08:12:32Z</dcterms:created>
  <dcterms:modified xsi:type="dcterms:W3CDTF">2026-10-10T08:12:32Z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