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Peru</w:t>
      </w:r>
      <w:r>
        <w:t xml:space="preserve"> </w:t>
      </w:r>
      <w:r>
        <w:t xml:space="preserve">Lima</w:t>
      </w:r>
    </w:p>
    <w:bookmarkStart w:id="20" w:name="quotation-estimate"/>
    <w:p>
      <w:pPr>
        <w:pStyle w:val="Heading1"/>
      </w:pPr>
      <w:r>
        <w:t xml:space="preserve">QUOTATION ESTIMATE</w:t>
      </w:r>
    </w:p>
    <w:p>
      <w:pPr>
        <w:pStyle w:val="FirstParagraph"/>
      </w:pPr>
      <w:r>
        <w:t xml:space="preserve">Professional Banking &amp; Financial Advisory Services</w:t>
      </w:r>
    </w:p>
    <w:p>
      <w:pPr>
        <w:pStyle w:val="BodyText"/>
      </w:pPr>
      <w:r>
        <w:t xml:space="preserve">Banker Consultancy – Peru Lima</w:t>
      </w:r>
    </w:p>
    <w:p>
      <w:pPr>
        <w:pStyle w:val="BodyText"/>
      </w:pPr>
      <w:r>
        <w:t xml:space="preserve">Document Reference: QTE-BNK-LIM-2025-0047</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Date</w:t>
            </w:r>
          </w:p>
        </w:tc>
        <w:tc>
          <w:tcPr/>
          <w:p>
            <w:pPr>
              <w:pStyle w:val="Compact"/>
              <w:jc w:val="left"/>
            </w:pPr>
            <w:r>
              <w:t xml:space="preserve">June 12, 2025</w:t>
            </w:r>
          </w:p>
        </w:tc>
      </w:tr>
      <w:tr>
        <w:tc>
          <w:tcPr/>
          <w:p>
            <w:pPr>
              <w:pStyle w:val="Compact"/>
              <w:jc w:val="left"/>
            </w:pPr>
            <w:r>
              <w:t xml:space="preserve">Quotation Validity</w:t>
            </w:r>
          </w:p>
        </w:tc>
        <w:tc>
          <w:tcPr/>
          <w:p>
            <w:pPr>
              <w:pStyle w:val="Compact"/>
              <w:jc w:val="left"/>
            </w:pPr>
            <w:r>
              <w:t xml:space="preserve">30 calendar days from the date of issue (expires July 12, 2025)</w:t>
            </w:r>
          </w:p>
        </w:tc>
      </w:tr>
      <w:tr>
        <w:tc>
          <w:tcPr/>
          <w:p>
            <w:pPr>
              <w:pStyle w:val="Compact"/>
              <w:jc w:val="left"/>
            </w:pPr>
            <w:r>
              <w:t xml:space="preserve">Prepared By</w:t>
            </w:r>
          </w:p>
        </w:tc>
        <w:tc>
          <w:tcPr/>
          <w:p>
            <w:pPr>
              <w:pStyle w:val="Compact"/>
              <w:jc w:val="left"/>
            </w:pPr>
            <w:r>
              <w:t xml:space="preserve">Andrés M. Quispe – Senior Banker &amp; Financial Advisor, Lima, Peru</w:t>
            </w:r>
          </w:p>
        </w:tc>
      </w:tr>
      <w:tr>
        <w:tc>
          <w:tcPr/>
          <w:p>
            <w:pPr>
              <w:pStyle w:val="Compact"/>
              <w:jc w:val="left"/>
            </w:pPr>
            <w:r>
              <w:t xml:space="preserve">Prepared For</w:t>
            </w:r>
          </w:p>
        </w:tc>
        <w:tc>
          <w:tcPr/>
          <w:p>
            <w:pPr>
              <w:pStyle w:val="Compact"/>
              <w:jc w:val="left"/>
            </w:pPr>
            <w:r>
              <w:t xml:space="preserve">Grupo Industrial del Pacífico S.A.C. – Av. Javier Prado Este 1250, San Isidro, Lima, Peru</w:t>
            </w:r>
          </w:p>
        </w:tc>
      </w:tr>
      <w:tr>
        <w:tc>
          <w:tcPr/>
          <w:p>
            <w:pPr>
              <w:pStyle w:val="Compact"/>
              <w:jc w:val="left"/>
            </w:pPr>
            <w:r>
              <w:t xml:space="preserve">Service Location</w:t>
            </w:r>
          </w:p>
        </w:tc>
        <w:tc>
          <w:tcPr/>
          <w:p>
            <w:pPr>
              <w:pStyle w:val="Compact"/>
              <w:jc w:val="left"/>
            </w:pPr>
            <w:r>
              <w:t xml:space="preserve">Lima, Peru (all operations conducted within the metropolitan area of Lima and Callao)</w:t>
            </w:r>
          </w:p>
        </w:tc>
      </w:tr>
      <w:tr>
        <w:tc>
          <w:tcPr/>
          <w:p>
            <w:pPr>
              <w:pStyle w:val="Compact"/>
              <w:jc w:val="left"/>
            </w:pPr>
            <w:r>
              <w:t xml:space="preserve">Currency</w:t>
            </w:r>
          </w:p>
        </w:tc>
        <w:tc>
          <w:tcPr/>
          <w:p>
            <w:pPr>
              <w:pStyle w:val="Compact"/>
              <w:jc w:val="left"/>
            </w:pPr>
            <w:r>
              <w:t xml:space="preserve">Peruvian Sol (PEN) / US Dollars (USD) – as specified per line item</w:t>
            </w:r>
          </w:p>
        </w:tc>
      </w:tr>
      <w:tr>
        <w:tc>
          <w:tcPr/>
          <w:p>
            <w:pPr>
              <w:pStyle w:val="Compact"/>
              <w:jc w:val="left"/>
            </w:pPr>
            <w:r>
              <w:t xml:space="preserve">Payment Terms</w:t>
            </w:r>
          </w:p>
        </w:tc>
        <w:tc>
          <w:tcPr/>
          <w:p>
            <w:pPr>
              <w:pStyle w:val="Compact"/>
              <w:jc w:val="left"/>
            </w:pPr>
            <w:r>
              <w:t xml:space="preserve">50% upon contract execution; 50% upon final delivery of the Banker engagement report</w:t>
            </w:r>
          </w:p>
        </w:tc>
      </w:tr>
    </w:tbl>
    <w:bookmarkStart w:id="21" w:name="purpose-of-this-quotation-estimate"/>
    <w:p>
      <w:pPr>
        <w:pStyle w:val="Heading2"/>
      </w:pPr>
      <w:r>
        <w:t xml:space="preserve">1. Purpose of This Quotation Estimate</w:t>
      </w:r>
    </w:p>
    <w:p>
      <w:pPr>
        <w:pStyle w:val="FirstParagraph"/>
      </w:pPr>
      <w:r>
        <w:t xml:space="preserve">This Quotation Estimate is issued by the undersigned Banker, Andrés M. Quispe, a licensed financial professional registered with the Superintendencia de Banca, Seguros y AFP (SBS) of Peru, to formally present the scope, deliverables, and cost structure for comprehensive banking and financial advisory services to be rendered in Peru Lima. This document serves as a binding cost proposal and does not constitute a final contract until countersigned by both parties. All figures presented herein reflect current market rates applicable to the banking sector in Lima, Peru, as of the date of issue.</w:t>
      </w:r>
    </w:p>
    <w:bookmarkEnd w:id="21"/>
    <w:bookmarkStart w:id="27" w:name="scope-of-banker-services-in-peru-lima"/>
    <w:p>
      <w:pPr>
        <w:pStyle w:val="Heading2"/>
      </w:pPr>
      <w:r>
        <w:t xml:space="preserve">2. Scope of Banker Services in Peru Lima</w:t>
      </w:r>
    </w:p>
    <w:p>
      <w:pPr>
        <w:pStyle w:val="FirstParagraph"/>
      </w:pPr>
      <w:r>
        <w:t xml:space="preserve">The Banker engagement encompasses the following professional services, all to be executed in compliance with Peruvian financial regulations, including but not limited to the Ley General del Sistema Financiero y del Sistema de Seguros (Ley N° 26702) and the regulations issued by the SBS and the Banco Central de Reserva del Perú (BCRP):</w:t>
      </w:r>
    </w:p>
    <w:bookmarkStart w:id="22" w:name="corporate-banking-advisory"/>
    <w:p>
      <w:pPr>
        <w:pStyle w:val="Heading3"/>
      </w:pPr>
      <w:r>
        <w:t xml:space="preserve">2.1 Corporate Banking Advisory</w:t>
      </w:r>
    </w:p>
    <w:p>
      <w:pPr>
        <w:pStyle w:val="FirstParagraph"/>
      </w:pPr>
      <w:r>
        <w:t xml:space="preserve">Strategic consultation on corporate banking relationships, including the evaluation and restructuring of existing credit facilities with major Peruvian financial institutions (Banco de Crédito del Perú, BBVA Peru, Interbank, Scotiabank Peru, and others operating in Lima). The Banker will conduct a full diagnostic of the client's current banking portfolio, interest rate exposure, and liquidity management within the Lima metropolitan financial district.</w:t>
      </w:r>
    </w:p>
    <w:bookmarkEnd w:id="22"/>
    <w:bookmarkStart w:id="23" w:name="treasury-cash-management-optimization"/>
    <w:p>
      <w:pPr>
        <w:pStyle w:val="Heading3"/>
      </w:pPr>
      <w:r>
        <w:t xml:space="preserve">2.2 Treasury &amp; Cash Management Optimization</w:t>
      </w:r>
    </w:p>
    <w:p>
      <w:pPr>
        <w:pStyle w:val="FirstParagraph"/>
      </w:pPr>
      <w:r>
        <w:t xml:space="preserve">Design and implementation of an optimized treasury structure for the client's operations in Peru Lima, including multi-currency account management (PEN, USD, EUR), automated sweep arrangements, and short-term investment strategies aligned with BCRP monetary policy conditions. The Banker will coordinate directly with the client's primary banking partners in Lima to negotiate improved terms on transactional banking services.</w:t>
      </w:r>
    </w:p>
    <w:bookmarkEnd w:id="23"/>
    <w:bookmarkStart w:id="24" w:name="credit-financing-structuring"/>
    <w:p>
      <w:pPr>
        <w:pStyle w:val="Heading3"/>
      </w:pPr>
      <w:r>
        <w:t xml:space="preserve">2.3 Credit &amp; Financing Structuring</w:t>
      </w:r>
    </w:p>
    <w:p>
      <w:pPr>
        <w:pStyle w:val="FirstParagraph"/>
      </w:pPr>
      <w:r>
        <w:t xml:space="preserve">Preparation of a comprehensive financing plan, including term loan structuring, trade finance instruments (letters of credit, documentary collections), and working capital facilities. The Banker will prepare all necessary documentation for submission to lending institutions in Peru Lima and will serve as the client's representative during credit committee presentations.</w:t>
      </w:r>
    </w:p>
    <w:bookmarkEnd w:id="24"/>
    <w:bookmarkStart w:id="25" w:name="regulatory-compliance-reporting"/>
    <w:p>
      <w:pPr>
        <w:pStyle w:val="Heading3"/>
      </w:pPr>
      <w:r>
        <w:t xml:space="preserve">2.4 Regulatory Compliance &amp; Reporting</w:t>
      </w:r>
    </w:p>
    <w:p>
      <w:pPr>
        <w:pStyle w:val="FirstParagraph"/>
      </w:pPr>
      <w:r>
        <w:t xml:space="preserve">Ongoing advisory on Peruvian banking regulations, anti-money laundering (AML) compliance under the Ley N° 27907, and tax reporting obligations with the Superintendencia Nacional de Aduanas y de Administración Tributaria (SUNAT). The Banker will ensure all financial transactions conducted in Peru Lima meet the latest regulatory thresholds and reporting requirements.</w:t>
      </w:r>
    </w:p>
    <w:bookmarkEnd w:id="25"/>
    <w:bookmarkStart w:id="26" w:name="foreign-exchange-international-banking"/>
    <w:p>
      <w:pPr>
        <w:pStyle w:val="Heading3"/>
      </w:pPr>
      <w:r>
        <w:t xml:space="preserve">2.5 Foreign Exchange &amp; International Banking</w:t>
      </w:r>
    </w:p>
    <w:p>
      <w:pPr>
        <w:pStyle w:val="FirstParagraph"/>
      </w:pPr>
      <w:r>
        <w:t xml:space="preserve">Advisory on foreign exchange operations, hedging strategies, and cross-border banking arrangements for the client's international trade operations. The Banker will evaluate the most cost-effective FX execution channels available in Lima's financial markets and recommend appropriate derivative instruments for currency risk mitigation.</w:t>
      </w:r>
    </w:p>
    <w:bookmarkEnd w:id="26"/>
    <w:bookmarkEnd w:id="27"/>
    <w:bookmarkStart w:id="28"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(PEN)</w:t>
            </w:r>
          </w:p>
        </w:tc>
        <w:tc>
          <w:tcPr/>
          <w:p>
            <w:pPr>
              <w:pStyle w:val="Compact"/>
              <w:jc w:val="left"/>
            </w:pPr>
            <w:r>
              <w:t xml:space="preserve">Subtotal (PEN)</w:t>
            </w:r>
          </w:p>
        </w:tc>
      </w:tr>
      <w:tr>
        <w:tc>
          <w:tcPr/>
          <w:p>
            <w:pPr>
              <w:pStyle w:val="Compact"/>
              <w:jc w:val="left"/>
            </w:pPr>
            <w:r>
              <w:t xml:space="preserve">01</w:t>
            </w:r>
          </w:p>
        </w:tc>
        <w:tc>
          <w:tcPr/>
          <w:p>
            <w:pPr>
              <w:pStyle w:val="Compact"/>
              <w:jc w:val="left"/>
            </w:pPr>
            <w:r>
              <w:t xml:space="preserve">Corporate Banking Diagnostic &amp; Portfolio Review (Lima, Peru)</w:t>
            </w:r>
          </w:p>
        </w:tc>
        <w:tc>
          <w:tcPr/>
          <w:p>
            <w:pPr>
              <w:pStyle w:val="Compact"/>
              <w:jc w:val="left"/>
            </w:pPr>
            <w:r>
              <w:t xml:space="preserve">2 weeks</w:t>
            </w:r>
          </w:p>
        </w:tc>
        <w:tc>
          <w:tcPr/>
          <w:p>
            <w:pPr>
              <w:pStyle w:val="Compact"/>
              <w:jc w:val="left"/>
            </w:pPr>
            <w:r>
              <w:t xml:space="preserve">18,500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Treasury &amp; Cash Management Restructuring Plan</w:t>
            </w:r>
          </w:p>
        </w:tc>
        <w:tc>
          <w:tcPr/>
          <w:p>
            <w:pPr>
              <w:pStyle w:val="Compact"/>
              <w:jc w:val="left"/>
            </w:pPr>
            <w:r>
              <w:t xml:space="preserve">3 weeks</w:t>
            </w:r>
          </w:p>
        </w:tc>
        <w:tc>
          <w:tcPr/>
          <w:p>
            <w:pPr>
              <w:pStyle w:val="Compact"/>
              <w:jc w:val="left"/>
            </w:pPr>
            <w:r>
              <w:t xml:space="preserve">24,000</w:t>
            </w:r>
          </w:p>
        </w:tc>
        <w:tc>
          <w:tcPr/>
          <w:p>
            <w:pPr>
              <w:pStyle w:val="Compact"/>
              <w:jc w:val="left"/>
            </w:pPr>
            <w:r>
              <w:t xml:space="preserve">24,000.00</w:t>
            </w:r>
          </w:p>
        </w:tc>
      </w:tr>
      <w:tr>
        <w:tc>
          <w:tcPr/>
          <w:p>
            <w:pPr>
              <w:pStyle w:val="Compact"/>
              <w:jc w:val="left"/>
            </w:pPr>
            <w:r>
              <w:t xml:space="preserve">03</w:t>
            </w:r>
          </w:p>
        </w:tc>
        <w:tc>
          <w:tcPr/>
          <w:p>
            <w:pPr>
              <w:pStyle w:val="Compact"/>
              <w:jc w:val="left"/>
            </w:pPr>
            <w:r>
              <w:t xml:space="preserve">Credit &amp; Financing Structuring (including lender negotiations in Lima)</w:t>
            </w:r>
          </w:p>
        </w:tc>
        <w:tc>
          <w:tcPr/>
          <w:p>
            <w:pPr>
              <w:pStyle w:val="Compact"/>
              <w:jc w:val="left"/>
            </w:pPr>
            <w:r>
              <w:t xml:space="preserve">4 weeks</w:t>
            </w:r>
          </w:p>
        </w:tc>
        <w:tc>
          <w:tcPr/>
          <w:p>
            <w:pPr>
              <w:pStyle w:val="Compact"/>
              <w:jc w:val="left"/>
            </w:pPr>
            <w:r>
              <w:t xml:space="preserve">32,000</w:t>
            </w:r>
          </w:p>
        </w:tc>
        <w:tc>
          <w:tcPr/>
          <w:p>
            <w:pPr>
              <w:pStyle w:val="Compact"/>
              <w:jc w:val="left"/>
            </w:pPr>
            <w:r>
              <w:t xml:space="preserve">32,000.00</w:t>
            </w:r>
          </w:p>
        </w:tc>
      </w:tr>
      <w:tr>
        <w:tc>
          <w:tcPr/>
          <w:p>
            <w:pPr>
              <w:pStyle w:val="Compact"/>
              <w:jc w:val="left"/>
            </w:pPr>
            <w:r>
              <w:t xml:space="preserve">04</w:t>
            </w:r>
          </w:p>
        </w:tc>
        <w:tc>
          <w:tcPr/>
          <w:p>
            <w:pPr>
              <w:pStyle w:val="Compact"/>
              <w:jc w:val="left"/>
            </w:pPr>
            <w:r>
              <w:t xml:space="preserve">Regulatory Compliance Advisory (SBS, SUNAT, AML – Peru Lima jurisdiction)</w:t>
            </w:r>
          </w:p>
        </w:tc>
        <w:tc>
          <w:tcPr/>
          <w:p>
            <w:pPr>
              <w:pStyle w:val="Compact"/>
              <w:jc w:val="left"/>
            </w:pPr>
            <w:r>
              <w:t xml:space="preserve">Ongoing (3 months)</w:t>
            </w:r>
          </w:p>
        </w:tc>
        <w:tc>
          <w:tcPr/>
          <w:p>
            <w:pPr>
              <w:pStyle w:val="Compact"/>
              <w:jc w:val="left"/>
            </w:pPr>
            <w:r>
              <w:t xml:space="preserve">12,000/mo</w:t>
            </w:r>
          </w:p>
        </w:tc>
        <w:tc>
          <w:tcPr/>
          <w:p>
            <w:pPr>
              <w:pStyle w:val="Compact"/>
              <w:jc w:val="left"/>
            </w:pPr>
            <w:r>
              <w:t xml:space="preserve">36,000.00</w:t>
            </w:r>
          </w:p>
        </w:tc>
      </w:tr>
      <w:tr>
        <w:tc>
          <w:tcPr/>
          <w:p>
            <w:pPr>
              <w:pStyle w:val="Compact"/>
              <w:jc w:val="left"/>
            </w:pPr>
            <w:r>
              <w:t xml:space="preserve">05</w:t>
            </w:r>
          </w:p>
        </w:tc>
        <w:tc>
          <w:tcPr/>
          <w:p>
            <w:pPr>
              <w:pStyle w:val="Compact"/>
              <w:jc w:val="left"/>
            </w:pPr>
            <w:r>
              <w:t xml:space="preserve">Foreign Exchange &amp; International Banking Advisory</w:t>
            </w:r>
          </w:p>
        </w:tc>
        <w:tc>
          <w:tcPr/>
          <w:p>
            <w:pPr>
              <w:pStyle w:val="Compact"/>
              <w:jc w:val="left"/>
            </w:pPr>
            <w:r>
              <w:t xml:space="preserve">2 weeks</w:t>
            </w:r>
          </w:p>
        </w:tc>
        <w:tc>
          <w:tcPr/>
          <w:p>
            <w:pPr>
              <w:pStyle w:val="Compact"/>
              <w:jc w:val="left"/>
            </w:pPr>
            <w:r>
              <w:t xml:space="preserve">15,500</w:t>
            </w:r>
          </w:p>
        </w:tc>
        <w:tc>
          <w:tcPr/>
          <w:p>
            <w:pPr>
              <w:pStyle w:val="Compact"/>
              <w:jc w:val="left"/>
            </w:pPr>
            <w:r>
              <w:t xml:space="preserve">15,500.00</w:t>
            </w:r>
          </w:p>
        </w:tc>
      </w:tr>
      <w:tr>
        <w:tc>
          <w:tcPr/>
          <w:p>
            <w:pPr>
              <w:pStyle w:val="Compact"/>
              <w:jc w:val="left"/>
            </w:pPr>
            <w:r>
              <w:t xml:space="preserve">06</w:t>
            </w:r>
          </w:p>
        </w:tc>
        <w:tc>
          <w:tcPr/>
          <w:p>
            <w:pPr>
              <w:pStyle w:val="Compact"/>
              <w:jc w:val="left"/>
            </w:pPr>
            <w:r>
              <w:t xml:space="preserve">Final Banker Engagement Report &amp; Strategic Roadmap (Lima, Peru)</w:t>
            </w:r>
          </w:p>
        </w:tc>
        <w:tc>
          <w:tcPr/>
          <w:p>
            <w:pPr>
              <w:pStyle w:val="Compact"/>
              <w:jc w:val="left"/>
            </w:pPr>
            <w:r>
              <w:t xml:space="preserve">1 week</w:t>
            </w:r>
          </w:p>
        </w:tc>
        <w:tc>
          <w:tcPr/>
          <w:p>
            <w:pPr>
              <w:pStyle w:val="Compact"/>
              <w:jc w:val="left"/>
            </w:pPr>
            <w:r>
              <w:t xml:space="preserve">8,000</w:t>
            </w:r>
          </w:p>
        </w:tc>
        <w:tc>
          <w:tcPr/>
          <w:p>
            <w:pPr>
              <w:pStyle w:val="Compact"/>
              <w:jc w:val="left"/>
            </w:pPr>
            <w:r>
              <w:t xml:space="preserve">8,000.00</w:t>
            </w:r>
          </w:p>
        </w:tc>
      </w:tr>
      <w:tr>
        <w:tc>
          <w:tcPr>
            <w:gridSpan w:val="4"/>
          </w:tcPr>
          <w:p>
            <w:pPr>
              <w:pStyle w:val="Compact"/>
              <w:jc w:val="left"/>
            </w:pPr>
            <w:r>
              <w:t xml:space="preserve">SUBTOTAL (excl. IGV)</w:t>
            </w:r>
          </w:p>
        </w:tc>
        <w:tc>
          <w:tcPr/>
          <w:p>
            <w:pPr>
              <w:pStyle w:val="Compact"/>
              <w:jc w:val="left"/>
            </w:pPr>
            <w:r>
              <w:t xml:space="preserve">134,000.00</w:t>
            </w:r>
          </w:p>
        </w:tc>
      </w:tr>
      <w:tr>
        <w:tc>
          <w:tcPr>
            <w:gridSpan w:val="4"/>
          </w:tcPr>
          <w:p>
            <w:pPr>
              <w:pStyle w:val="Compact"/>
              <w:jc w:val="left"/>
            </w:pPr>
            <w:r>
              <w:t xml:space="preserve">IGV (18% – Peruvian General Sales Tax)</w:t>
            </w:r>
          </w:p>
        </w:tc>
        <w:tc>
          <w:tcPr/>
          <w:p>
            <w:pPr>
              <w:pStyle w:val="Compact"/>
              <w:jc w:val="left"/>
            </w:pPr>
            <w:r>
              <w:t xml:space="preserve">24,120.00</w:t>
            </w:r>
          </w:p>
        </w:tc>
      </w:tr>
      <w:tr>
        <w:tc>
          <w:tcPr>
            <w:gridSpan w:val="4"/>
          </w:tcPr>
          <w:p>
            <w:pPr>
              <w:pStyle w:val="Compact"/>
              <w:jc w:val="left"/>
            </w:pPr>
            <w:r>
              <w:t xml:space="preserve">TOTAL QUOTATION ESTIMATE (PEN)</w:t>
            </w:r>
          </w:p>
        </w:tc>
        <w:tc>
          <w:tcPr/>
          <w:p>
            <w:pPr>
              <w:pStyle w:val="Compact"/>
              <w:jc w:val="left"/>
            </w:pPr>
            <w:r>
              <w:t xml:space="preserve">158,120.00</w:t>
            </w:r>
          </w:p>
        </w:tc>
      </w:tr>
      <w:tr>
        <w:tc>
          <w:tcPr>
            <w:gridSpan w:val="4"/>
          </w:tcPr>
          <w:p>
            <w:pPr>
              <w:pStyle w:val="Compact"/>
              <w:jc w:val="left"/>
            </w:pPr>
            <w:r>
              <w:t xml:space="preserve">TOTAL QUOTATION ESTIMATE (USD – reference at PEN 3.72/USD)</w:t>
            </w:r>
          </w:p>
        </w:tc>
        <w:tc>
          <w:tcPr/>
          <w:p>
            <w:pPr>
              <w:pStyle w:val="Compact"/>
              <w:jc w:val="left"/>
            </w:pPr>
            <w:r>
              <w:t xml:space="preserve">42,505.38</w:t>
            </w:r>
          </w:p>
        </w:tc>
      </w:tr>
    </w:tbl>
    <w:bookmarkEnd w:id="28"/>
    <w:bookmarkStart w:id="29" w:name="terms-and-conditions"/>
    <w:p>
      <w:pPr>
        <w:pStyle w:val="Heading2"/>
      </w:pPr>
      <w:r>
        <w:t xml:space="preserve">4. Terms and Conditions</w:t>
      </w:r>
    </w:p>
    <w:p>
      <w:pPr>
        <w:numPr>
          <w:ilvl w:val="0"/>
          <w:numId w:val="1001"/>
        </w:numPr>
        <w:pStyle w:val="Compact"/>
      </w:pPr>
      <w:r>
        <w:t xml:space="preserve">This Quotation Estimate is valid for thirty (30) calendar days from the issue date. Any acceptance beyond this period will require a revised cost assessment by the Banker, as market conditions in Peru Lima's financial sector may have changed.</w:t>
      </w:r>
    </w:p>
    <w:p>
      <w:pPr>
        <w:numPr>
          <w:ilvl w:val="0"/>
          <w:numId w:val="1001"/>
        </w:numPr>
        <w:pStyle w:val="Compact"/>
      </w:pPr>
      <w:r>
        <w:t xml:space="preserve">All services will be performed by the named Banker or, with prior written consent of the client, by qualified associate professionals under the Banker's direct supervision. All personnel will be based in or regularly operate within Lima, Peru.</w:t>
      </w:r>
    </w:p>
    <w:p>
      <w:pPr>
        <w:numPr>
          <w:ilvl w:val="0"/>
          <w:numId w:val="1001"/>
        </w:numPr>
        <w:pStyle w:val="Compact"/>
      </w:pPr>
      <w:r>
        <w:t xml:space="preserve">The Banker shall maintain professional liability insurance with a minimum coverage of PEN 500,000, as required by Peruvian professional services regulations.</w:t>
      </w:r>
    </w:p>
    <w:p>
      <w:pPr>
        <w:numPr>
          <w:ilvl w:val="0"/>
          <w:numId w:val="1001"/>
        </w:numPr>
        <w:pStyle w:val="Compact"/>
      </w:pPr>
      <w:r>
        <w:t xml:space="preserve">Confidentiality: All financial data, banking relationships, and proprietary information of the client obtained during this engagement in Peru Lima shall be treated as strictly confidential and shall not be disclosed to any third party without written authorization, in accordance with Peruvian data protection law (Ley N° 29733).</w:t>
      </w:r>
    </w:p>
    <w:p>
      <w:pPr>
        <w:numPr>
          <w:ilvl w:val="0"/>
          <w:numId w:val="1001"/>
        </w:numPr>
        <w:pStyle w:val="Compact"/>
      </w:pPr>
      <w:r>
        <w:t xml:space="preserve">Travel and local transportation within the Lima metropolitan area (including San Isidro, Miraflores, La Molina, and Callao) are included in the quoted rates. Travel outside the Lima metropolitan area will be billed at cost plus 15%.</w:t>
      </w:r>
    </w:p>
    <w:p>
      <w:pPr>
        <w:numPr>
          <w:ilvl w:val="0"/>
          <w:numId w:val="1001"/>
        </w:numPr>
        <w:pStyle w:val="Compact"/>
      </w:pPr>
      <w:r>
        <w:t xml:space="preserve">Any additional services requested by the client beyond the scope defined in Section 2 will be subject to a supplementary Quotation Estimate issued by the Banker.</w:t>
      </w:r>
    </w:p>
    <w:p>
      <w:pPr>
        <w:numPr>
          <w:ilvl w:val="0"/>
          <w:numId w:val="1001"/>
        </w:numPr>
        <w:pStyle w:val="Compact"/>
      </w:pPr>
      <w:r>
        <w:t xml:space="preserve">Disputes arising from this engagement shall be resolved through arbitration in Lima, Peru, in accordance with the rules of the Centro de Arbitraje y Conciliación de la Cámara de Comercio de Lima.</w:t>
      </w:r>
    </w:p>
    <w:p>
      <w:pPr>
        <w:numPr>
          <w:ilvl w:val="0"/>
          <w:numId w:val="1001"/>
        </w:numPr>
        <w:pStyle w:val="Compact"/>
      </w:pPr>
      <w:r>
        <w:t xml:space="preserve">This Quotation Estimate is governed by the laws of the Republic of Peru. The competent courts for any legal action shall be those of the judicial district of Lima, Peru.</w:t>
      </w:r>
    </w:p>
    <w:p>
      <w:pPr>
        <w:pStyle w:val="FirstParagraph"/>
      </w:pPr>
      <w:r>
        <w:rPr>
          <w:bCs/>
          <w:b/>
        </w:rPr>
        <w:t xml:space="preserve">Important Note:</w:t>
      </w:r>
      <w:r>
        <w:t xml:space="preserve"> </w:t>
      </w:r>
      <w:r>
        <w:t xml:space="preserve">This Quotation Estimate is prepared specifically for banking and financial advisory services to be delivered in Peru Lima. All regulatory references, tax calculations (including the 18% IGV applicable in Peru), and professional standards cited herein are specific to the Peruvian financial and legal framework. The Banker assumes no liability for changes in Peruvian banking regulations, BCRP interest rate decisions, or SBS policy modifications that occur after the date of this document.</w:t>
      </w:r>
    </w:p>
    <w:bookmarkEnd w:id="29"/>
    <w:bookmarkStart w:id="30" w:name="acceptance"/>
    <w:p>
      <w:pPr>
        <w:pStyle w:val="Heading2"/>
      </w:pPr>
      <w:r>
        <w:t xml:space="preserve">5. Acceptance</w:t>
      </w:r>
    </w:p>
    <w:p>
      <w:pPr>
        <w:pStyle w:val="FirstParagraph"/>
      </w:pPr>
      <w:r>
        <w:t xml:space="preserve">By signing below, the client acknowledges receipt of this Quotation Estimate and agrees to the terms, conditions, and cost structure presented for the Banker services to be rendered in Peru Lima. This acceptance constitutes a formal request for the Banker to commence the engagement as described herein.</w:t>
      </w:r>
    </w:p>
    <w:p>
      <w:pPr>
        <w:pStyle w:val="BodyText"/>
      </w:pPr>
      <w:r>
        <w:rPr>
          <w:bCs/>
          <w:b/>
        </w:rPr>
        <w:t xml:space="preserve">For the Banker (Service Provider)</w:t>
      </w:r>
      <w:r>
        <w:br/>
      </w:r>
      <w:r>
        <w:t xml:space="preserve">Andrés M. Quispe</w:t>
      </w:r>
      <w:r>
        <w:br/>
      </w:r>
      <w:r>
        <w:t xml:space="preserve">Senior Banker &amp; Financial Advisor</w:t>
      </w:r>
      <w:r>
        <w:br/>
      </w:r>
      <w:r>
        <w:t xml:space="preserve">Lima, Peru</w:t>
      </w:r>
      <w:r>
        <w:br/>
      </w:r>
      <w:r>
        <w:t xml:space="preserve">Date: _______________</w:t>
      </w:r>
    </w:p>
    <w:p>
      <w:pPr>
        <w:pStyle w:val="BodyText"/>
      </w:pPr>
      <w:r>
        <w:rPr>
          <w:bCs/>
          <w:b/>
        </w:rPr>
        <w:t xml:space="preserve">For the Client (Grupo Industrial del Pacífico S.A.C.)</w:t>
      </w:r>
      <w:r>
        <w:br/>
      </w:r>
      <w:r>
        <w:t xml:space="preserve">Authorized Representative</w:t>
      </w:r>
      <w:r>
        <w:br/>
      </w:r>
      <w:r>
        <w:t xml:space="preserve">Lima, Peru</w:t>
      </w:r>
      <w:r>
        <w:br/>
      </w:r>
      <w:r>
        <w:t xml:space="preserve">Date: _______________</w:t>
      </w:r>
    </w:p>
    <w:p>
      <w:pPr>
        <w:pStyle w:val="BodyText"/>
      </w:pPr>
      <w:r>
        <w:t xml:space="preserve">Quotation Estimate QTE-BNK-LIM-2025-0047 | Banker Services | Peru Lima | Page 1 of 1</w:t>
      </w:r>
    </w:p>
    <w:p>
      <w:pPr>
        <w:pStyle w:val="BodyText"/>
      </w:pPr>
      <w:r>
        <w:t xml:space="preserve">This document is generated for professional banking advisory purposes in Lima, Peru. It is not a banking product, credit facility, or financial instrument.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Banker Services - Peru Lima</dc:title>
  <dc:creator/>
  <dc:language>en</dc:language>
  <cp:keywords/>
  <dcterms:created xsi:type="dcterms:W3CDTF">2026-10-10T06:21:49Z</dcterms:created>
  <dcterms:modified xsi:type="dcterms:W3CDTF">2026-10-10T06:21:49Z</dcterms:modified>
</cp:coreProperties>
</file>

<file path=docProps/custom.xml><?xml version="1.0" encoding="utf-8"?>
<Properties xmlns="http://schemas.openxmlformats.org/officeDocument/2006/custom-properties" xmlns:vt="http://schemas.openxmlformats.org/officeDocument/2006/docPropsVTypes"/>
</file>