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Banker Services &amp; Financial Advisory</w:t>
      </w:r>
    </w:p>
    <w:p>
      <w:pPr>
        <w:pStyle w:val="BodyText"/>
      </w:pPr>
      <w:r>
        <w:t xml:space="preserve">Republic of the Philippines — Metro Manila</w:t>
      </w:r>
    </w:p>
    <w:bookmarkEnd w:id="20"/>
    <w:bookmarkStart w:id="21" w:name="prepared-by"/>
    <w:p>
      <w:pPr>
        <w:pStyle w:val="Heading3"/>
      </w:pPr>
      <w:r>
        <w:t xml:space="preserve">Prepared By</w:t>
      </w:r>
    </w:p>
    <w:p>
      <w:pPr>
        <w:pStyle w:val="FirstParagraph"/>
      </w:pPr>
      <w:r>
        <w:rPr>
          <w:bCs/>
          <w:b/>
        </w:rPr>
        <w:t xml:space="preserve">Manila Premier Banker Services, Inc.</w:t>
      </w:r>
    </w:p>
    <w:p>
      <w:pPr>
        <w:pStyle w:val="BodyText"/>
      </w:pPr>
      <w:r>
        <w:t xml:space="preserve">128th Floor, Ayala Center Tower 2</w:t>
      </w:r>
    </w:p>
    <w:p>
      <w:pPr>
        <w:pStyle w:val="BodyText"/>
      </w:pPr>
      <w:r>
        <w:t xml:space="preserve">Makati City, Metro Manila</w:t>
      </w:r>
    </w:p>
    <w:p>
      <w:pPr>
        <w:pStyle w:val="BodyText"/>
      </w:pPr>
      <w:r>
        <w:t xml:space="preserve">Republic of the Philippines</w:t>
      </w:r>
    </w:p>
    <w:p>
      <w:pPr>
        <w:pStyle w:val="BodyText"/>
      </w:pPr>
      <w:r>
        <w:t xml:space="preserve">Tel: +63 (2) 8888-4521</w:t>
      </w:r>
    </w:p>
    <w:p>
      <w:pPr>
        <w:pStyle w:val="BodyText"/>
      </w:pPr>
      <w:r>
        <w:t xml:space="preserve">Email: quotations@manilapremierbanker.ph</w:t>
      </w:r>
    </w:p>
    <w:p>
      <w:pPr>
        <w:pStyle w:val="BodyText"/>
      </w:pPr>
      <w:r>
        <w:t xml:space="preserve">SEC Reg. No. CS2019-04521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 Company Name]</w:t>
      </w:r>
    </w:p>
    <w:p>
      <w:pPr>
        <w:pStyle w:val="BodyText"/>
      </w:pPr>
      <w:r>
        <w:rPr>
          <w:bCs/>
          <w:b/>
        </w:rPr>
        <w:t xml:space="preserve">Address:</w:t>
      </w:r>
      <w:r>
        <w:t xml:space="preserve"> </w:t>
      </w:r>
      <w:r>
        <w:t xml:space="preserve">[Client Address, Manila, Philippines]</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[client.email@company.ph]</w:t>
      </w:r>
    </w:p>
    <w:p>
      <w:pPr>
        <w:pStyle w:val="BodyText"/>
      </w:pPr>
      <w:r>
        <w:rPr>
          <w:bCs/>
          <w:b/>
        </w:rPr>
        <w:t xml:space="preserve">TIN:</w:t>
      </w:r>
      <w:r>
        <w:t xml:space="preserve"> </w:t>
      </w:r>
      <w:r>
        <w:t xml:space="preserve">[Tax Identification Number]</w:t>
      </w:r>
    </w:p>
    <w:bookmarkEnd w:id="22"/>
    <w:p>
      <w:pPr>
        <w:pStyle w:val="BodyText"/>
      </w:pPr>
      <w:r>
        <w:rPr>
          <w:bCs/>
          <w:b/>
        </w:rPr>
        <w:t xml:space="preserve">Quotation Estimate No.:</w:t>
      </w:r>
      <w:r>
        <w:t xml:space="preserve"> </w:t>
      </w:r>
      <w:r>
        <w:t xml:space="preserve">QTE-2025-MNL-00847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calendar days)</w:t>
      </w:r>
    </w:p>
    <w:p>
      <w:pPr>
        <w:pStyle w:val="BodyText"/>
      </w:pPr>
      <w:r>
        <w:rPr>
          <w:bCs/>
          <w:b/>
        </w:rPr>
        <w:t xml:space="preserve">Service Location:</w:t>
      </w:r>
      <w:r>
        <w:t xml:space="preserve"> </w:t>
      </w:r>
      <w:r>
        <w:t xml:space="preserve">Metro Manila, Philippines</w:t>
      </w:r>
    </w:p>
    <w:p>
      <w:pPr>
        <w:pStyle w:val="BodyText"/>
      </w:pPr>
      <w:r>
        <w:rPr>
          <w:bCs/>
          <w:b/>
        </w:rPr>
        <w:t xml:space="preserve">Currency:</w:t>
      </w:r>
      <w:r>
        <w:t xml:space="preserve"> </w:t>
      </w:r>
      <w:r>
        <w:t xml:space="preserve">Philippine Peso (PHP)</w:t>
      </w:r>
    </w:p>
    <w:bookmarkStart w:id="23" w:name="scope-of-banker-services"/>
    <w:p>
      <w:pPr>
        <w:pStyle w:val="Heading2"/>
      </w:pPr>
      <w:r>
        <w:t xml:space="preserve">1. Scope of Banker Services</w:t>
      </w:r>
    </w:p>
    <w:p>
      <w:pPr>
        <w:pStyle w:val="FirstParagraph"/>
      </w:pPr>
      <w:r>
        <w:t xml:space="preserve">This</w:t>
      </w:r>
      <w:r>
        <w:t xml:space="preserve"> </w:t>
      </w:r>
      <w:r>
        <w:t xml:space="preserve">Quotation Estimate</w:t>
      </w:r>
      <w:r>
        <w:t xml:space="preserve"> </w:t>
      </w:r>
      <w:r>
        <w:t xml:space="preserve">is issued by Manila Premier Banker Services, Inc. to provide a comprehensive breakdown of professional</w:t>
      </w:r>
      <w:r>
        <w:t xml:space="preserve"> </w:t>
      </w:r>
      <w:r>
        <w:t xml:space="preserve">Banker</w:t>
      </w:r>
      <w:r>
        <w:t xml:space="preserve"> </w:t>
      </w:r>
      <w:r>
        <w:t xml:space="preserve">services to be rendered within the</w:t>
      </w:r>
      <w:r>
        <w:t xml:space="preserve"> </w:t>
      </w:r>
      <w:r>
        <w:t xml:space="preserve">Philippines Manila</w:t>
      </w:r>
      <w:r>
        <w:t xml:space="preserve"> </w:t>
      </w:r>
      <w:r>
        <w:t xml:space="preserve">metropolitan area. The services outlined below encompass corporate banking advisory, treasury management, investment structuring, and ongoing financial relationship management tailored to the specific operational and strategic needs of the client. All services shall be delivered in strict compliance with the Bangko Sentral ng Pilipinas (BSP) regulations, the Securities and Exchange Commission (SEC) guidelines, and the applicable provisions of the Philippine Financial Institutions and Intermediaries Act (Republic Act No. 8791).</w:t>
      </w:r>
    </w:p>
    <w:bookmarkEnd w:id="23"/>
    <w:bookmarkStart w:id="24"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Banker Service Description</w:t>
            </w:r>
          </w:p>
        </w:tc>
        <w:tc>
          <w:tcPr/>
          <w:p>
            <w:pPr>
              <w:pStyle w:val="Compact"/>
              <w:jc w:val="left"/>
            </w:pPr>
            <w:r>
              <w:t xml:space="preserve">Frequency / Duration</w:t>
            </w:r>
          </w:p>
        </w:tc>
        <w:tc>
          <w:tcPr/>
          <w:p>
            <w:pPr>
              <w:pStyle w:val="Compact"/>
              <w:jc w:val="left"/>
            </w:pPr>
            <w:r>
              <w:t xml:space="preserve">Unit Rate (PHP)</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Corporate Banker Advisory &amp; Relationship Management (dedicated senior Banker assigned to client account)</w:t>
            </w:r>
          </w:p>
        </w:tc>
        <w:tc>
          <w:tcPr/>
          <w:p>
            <w:pPr>
              <w:pStyle w:val="Compact"/>
              <w:jc w:val="left"/>
            </w:pPr>
            <w:r>
              <w:t xml:space="preserve">Monthly (12 months)</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Includes quarterly on-site visits in Manila</w:t>
            </w:r>
          </w:p>
        </w:tc>
      </w:tr>
      <w:tr>
        <w:tc>
          <w:tcPr/>
          <w:p>
            <w:pPr>
              <w:pStyle w:val="Compact"/>
              <w:jc w:val="left"/>
            </w:pPr>
            <w:r>
              <w:t xml:space="preserve">2</w:t>
            </w:r>
          </w:p>
        </w:tc>
        <w:tc>
          <w:tcPr/>
          <w:p>
            <w:pPr>
              <w:pStyle w:val="Compact"/>
              <w:jc w:val="left"/>
            </w:pPr>
            <w:r>
              <w:t xml:space="preserve">Treasury Management &amp; Cash Flow Optimization Consulting</w:t>
            </w:r>
          </w:p>
        </w:tc>
        <w:tc>
          <w:tcPr/>
          <w:p>
            <w:pPr>
              <w:pStyle w:val="Compact"/>
              <w:jc w:val="left"/>
            </w:pPr>
            <w:r>
              <w:t xml:space="preserve">Quarterly (4 engagements)</w:t>
            </w:r>
          </w:p>
        </w:tc>
        <w:tc>
          <w:tcPr/>
          <w:p>
            <w:pPr>
              <w:pStyle w:val="Compact"/>
              <w:jc w:val="left"/>
            </w:pPr>
            <w:r>
              <w:t xml:space="preserve">320,000.00</w:t>
            </w:r>
          </w:p>
        </w:tc>
        <w:tc>
          <w:tcPr/>
          <w:p>
            <w:pPr>
              <w:pStyle w:val="Compact"/>
              <w:jc w:val="left"/>
            </w:pPr>
            <w:r>
              <w:t xml:space="preserve">1,280,000.00</w:t>
            </w:r>
          </w:p>
        </w:tc>
        <w:tc>
          <w:tcPr/>
          <w:p>
            <w:pPr>
              <w:pStyle w:val="Compact"/>
              <w:jc w:val="left"/>
            </w:pPr>
            <w:r>
              <w:t xml:space="preserve">Delivered at client premises, Metro Manila</w:t>
            </w:r>
          </w:p>
        </w:tc>
      </w:tr>
      <w:tr>
        <w:tc>
          <w:tcPr/>
          <w:p>
            <w:pPr>
              <w:pStyle w:val="Compact"/>
              <w:jc w:val="left"/>
            </w:pPr>
            <w:r>
              <w:t xml:space="preserve">3</w:t>
            </w:r>
          </w:p>
        </w:tc>
        <w:tc>
          <w:tcPr/>
          <w:p>
            <w:pPr>
              <w:pStyle w:val="Compact"/>
              <w:jc w:val="left"/>
            </w:pPr>
            <w:r>
              <w:t xml:space="preserve">Investment Banking Structuring &amp; Capital Raising Advisory</w:t>
            </w:r>
          </w:p>
        </w:tc>
        <w:tc>
          <w:tcPr/>
          <w:p>
            <w:pPr>
              <w:pStyle w:val="Compact"/>
              <w:jc w:val="left"/>
            </w:pPr>
            <w:r>
              <w:t xml:space="preserve">One-time project</w:t>
            </w:r>
          </w:p>
        </w:tc>
        <w:tc>
          <w:tcPr/>
          <w:p>
            <w:pPr>
              <w:pStyle w:val="Compact"/>
              <w:jc w:val="left"/>
            </w:pPr>
            <w:r>
              <w:t xml:space="preserve">1,500,000.00</w:t>
            </w:r>
          </w:p>
        </w:tc>
        <w:tc>
          <w:tcPr/>
          <w:p>
            <w:pPr>
              <w:pStyle w:val="Compact"/>
              <w:jc w:val="left"/>
            </w:pPr>
            <w:r>
              <w:t xml:space="preserve">1,500,000.00</w:t>
            </w:r>
          </w:p>
        </w:tc>
        <w:tc>
          <w:tcPr/>
          <w:p>
            <w:pPr>
              <w:pStyle w:val="Compact"/>
              <w:jc w:val="left"/>
            </w:pPr>
            <w:r>
              <w:t xml:space="preserve">Subject to success fee of 1.5% on raised capital</w:t>
            </w:r>
          </w:p>
        </w:tc>
      </w:tr>
      <w:tr>
        <w:tc>
          <w:tcPr/>
          <w:p>
            <w:pPr>
              <w:pStyle w:val="Compact"/>
              <w:jc w:val="left"/>
            </w:pPr>
            <w:r>
              <w:t xml:space="preserve">4</w:t>
            </w:r>
          </w:p>
        </w:tc>
        <w:tc>
          <w:tcPr/>
          <w:p>
            <w:pPr>
              <w:pStyle w:val="Compact"/>
              <w:jc w:val="left"/>
            </w:pPr>
            <w:r>
              <w:t xml:space="preserve">Foreign Exchange &amp; Trade Finance Advisory (BSP-compliant)</w:t>
            </w:r>
          </w:p>
        </w:tc>
        <w:tc>
          <w:tcPr/>
          <w:p>
            <w:pPr>
              <w:pStyle w:val="Compact"/>
              <w:jc w:val="left"/>
            </w:pPr>
            <w:r>
              <w:t xml:space="preserve">Monthly (12 months)</w:t>
            </w:r>
          </w:p>
        </w:tc>
        <w:tc>
          <w:tcPr/>
          <w:p>
            <w:pPr>
              <w:pStyle w:val="Compact"/>
              <w:jc w:val="left"/>
            </w:pPr>
            <w:r>
              <w:t xml:space="preserve">95,000.00</w:t>
            </w:r>
          </w:p>
        </w:tc>
        <w:tc>
          <w:tcPr/>
          <w:p>
            <w:pPr>
              <w:pStyle w:val="Compact"/>
              <w:jc w:val="left"/>
            </w:pPr>
            <w:r>
              <w:t xml:space="preserve">1,140,000.00</w:t>
            </w:r>
          </w:p>
        </w:tc>
        <w:tc>
          <w:tcPr/>
          <w:p>
            <w:pPr>
              <w:pStyle w:val="Compact"/>
              <w:jc w:val="left"/>
            </w:pPr>
            <w:r>
              <w:t xml:space="preserve">Covers USD, EUR, JPY, SGD corridors</w:t>
            </w:r>
          </w:p>
        </w:tc>
      </w:tr>
      <w:tr>
        <w:tc>
          <w:tcPr/>
          <w:p>
            <w:pPr>
              <w:pStyle w:val="Compact"/>
              <w:jc w:val="left"/>
            </w:pPr>
            <w:r>
              <w:t xml:space="preserve">5</w:t>
            </w:r>
          </w:p>
        </w:tc>
        <w:tc>
          <w:tcPr/>
          <w:p>
            <w:pPr>
              <w:pStyle w:val="Compact"/>
              <w:jc w:val="left"/>
            </w:pPr>
            <w:r>
              <w:t xml:space="preserve">Regulatory Compliance &amp; AML Reporting Support (Philippines jurisdiction)</w:t>
            </w:r>
          </w:p>
        </w:tc>
        <w:tc>
          <w:tcPr/>
          <w:p>
            <w:pPr>
              <w:pStyle w:val="Compact"/>
              <w:jc w:val="left"/>
            </w:pPr>
            <w:r>
              <w:t xml:space="preserve">Monthly (12 months)</w:t>
            </w:r>
          </w:p>
        </w:tc>
        <w:tc>
          <w:tcPr/>
          <w:p>
            <w:pPr>
              <w:pStyle w:val="Compact"/>
              <w:jc w:val="left"/>
            </w:pPr>
            <w:r>
              <w:t xml:space="preserve">75,000.00</w:t>
            </w:r>
          </w:p>
        </w:tc>
        <w:tc>
          <w:tcPr/>
          <w:p>
            <w:pPr>
              <w:pStyle w:val="Compact"/>
              <w:jc w:val="left"/>
            </w:pPr>
            <w:r>
              <w:t xml:space="preserve">900,000.00</w:t>
            </w:r>
          </w:p>
        </w:tc>
        <w:tc>
          <w:tcPr/>
          <w:p>
            <w:pPr>
              <w:pStyle w:val="Compact"/>
              <w:jc w:val="left"/>
            </w:pPr>
            <w:r>
              <w:t xml:space="preserve">Includes AMLC filing assistance</w:t>
            </w:r>
          </w:p>
        </w:tc>
      </w:tr>
      <w:tr>
        <w:tc>
          <w:tcPr/>
          <w:p>
            <w:pPr>
              <w:pStyle w:val="Compact"/>
              <w:jc w:val="left"/>
            </w:pPr>
            <w:r>
              <w:t xml:space="preserve">6</w:t>
            </w:r>
          </w:p>
        </w:tc>
        <w:tc>
          <w:tcPr/>
          <w:p>
            <w:pPr>
              <w:pStyle w:val="Compact"/>
              <w:jc w:val="left"/>
            </w:pPr>
            <w:r>
              <w:t xml:space="preserve">Wealth Management &amp; Estate Planning for Key Executives (up to 5 individuals)</w:t>
            </w:r>
          </w:p>
        </w:tc>
        <w:tc>
          <w:tcPr/>
          <w:p>
            <w:pPr>
              <w:pStyle w:val="Compact"/>
              <w:jc w:val="left"/>
            </w:pPr>
            <w:r>
              <w:t xml:space="preserve">Semi-annual (2 sessions)</w:t>
            </w:r>
          </w:p>
        </w:tc>
        <w:tc>
          <w:tcPr/>
          <w:p>
            <w:pPr>
              <w:pStyle w:val="Compact"/>
              <w:jc w:val="left"/>
            </w:pPr>
            <w:r>
              <w:t xml:space="preserve">250,000.00</w:t>
            </w:r>
          </w:p>
        </w:tc>
        <w:tc>
          <w:tcPr/>
          <w:p>
            <w:pPr>
              <w:pStyle w:val="Compact"/>
              <w:jc w:val="left"/>
            </w:pPr>
            <w:r>
              <w:t xml:space="preserve">500,000.00</w:t>
            </w:r>
          </w:p>
        </w:tc>
        <w:tc>
          <w:tcPr/>
          <w:p>
            <w:pPr>
              <w:pStyle w:val="Compact"/>
              <w:jc w:val="left"/>
            </w:pPr>
            <w:r>
              <w:t xml:space="preserve">Conducted in Manila office or client residence</w:t>
            </w:r>
          </w:p>
        </w:tc>
      </w:tr>
      <w:tr>
        <w:tc>
          <w:tcPr/>
          <w:p>
            <w:pPr>
              <w:pStyle w:val="Compact"/>
              <w:jc w:val="left"/>
            </w:pPr>
            <w:r>
              <w:t xml:space="preserve">7</w:t>
            </w:r>
          </w:p>
        </w:tc>
        <w:tc>
          <w:tcPr/>
          <w:p>
            <w:pPr>
              <w:pStyle w:val="Compact"/>
              <w:jc w:val="left"/>
            </w:pPr>
            <w:r>
              <w:t xml:space="preserve">Emergency Banker Hotline &amp; After-Hours Support (24/7)</w:t>
            </w:r>
          </w:p>
        </w:tc>
        <w:tc>
          <w:tcPr/>
          <w:p>
            <w:pPr>
              <w:pStyle w:val="Compact"/>
              <w:jc w:val="left"/>
            </w:pPr>
            <w:r>
              <w:t xml:space="preserve">Annual subscription</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Response time: under 2 hours</w:t>
            </w:r>
          </w:p>
        </w:tc>
      </w:tr>
      <w:tr>
        <w:tc>
          <w:tcPr>
            <w:gridSpan w:val="4"/>
          </w:tcPr>
          <w:p>
            <w:pPr>
              <w:pStyle w:val="Compact"/>
              <w:jc w:val="right"/>
            </w:pPr>
            <w:r>
              <w:t xml:space="preserve">SUBTOTAL</w:t>
            </w:r>
          </w:p>
        </w:tc>
        <w:tc>
          <w:tcPr/>
          <w:p>
            <w:pPr>
              <w:pStyle w:val="Compact"/>
              <w:jc w:val="left"/>
            </w:pPr>
            <w:r>
              <w:t xml:space="preserve">7,660,000.00</w:t>
            </w:r>
          </w:p>
        </w:tc>
        <w:tc>
          <w:tcPr/>
          <w:p>
            <w:pPr>
              <w:pStyle w:val="Compact"/>
            </w:pPr>
          </w:p>
        </w:tc>
      </w:tr>
      <w:tr>
        <w:tc>
          <w:tcPr>
            <w:gridSpan w:val="4"/>
          </w:tcPr>
          <w:p>
            <w:pPr>
              <w:pStyle w:val="Compact"/>
              <w:jc w:val="right"/>
            </w:pPr>
            <w:r>
              <w:t xml:space="preserve">VAT (12% as per Philippine Tax Code)</w:t>
            </w:r>
          </w:p>
        </w:tc>
        <w:tc>
          <w:tcPr/>
          <w:p>
            <w:pPr>
              <w:pStyle w:val="Compact"/>
              <w:jc w:val="left"/>
            </w:pPr>
            <w:r>
              <w:t xml:space="preserve">919,200.00</w:t>
            </w:r>
          </w:p>
        </w:tc>
        <w:tc>
          <w:tcPr/>
          <w:p>
            <w:pPr>
              <w:pStyle w:val="Compact"/>
            </w:pPr>
          </w:p>
        </w:tc>
      </w:tr>
      <w:tr>
        <w:tc>
          <w:tcPr>
            <w:gridSpan w:val="4"/>
          </w:tcPr>
          <w:p>
            <w:pPr>
              <w:pStyle w:val="Compact"/>
              <w:jc w:val="right"/>
            </w:pPr>
            <w:r>
              <w:t xml:space="preserve">TOTAL QUOTATION ESTIMATE</w:t>
            </w:r>
          </w:p>
        </w:tc>
        <w:tc>
          <w:tcPr/>
          <w:p>
            <w:pPr>
              <w:pStyle w:val="Compact"/>
              <w:jc w:val="left"/>
            </w:pPr>
            <w:r>
              <w:t xml:space="preserve">8,579,200.00</w:t>
            </w:r>
          </w:p>
        </w:tc>
        <w:tc>
          <w:tcPr/>
          <w:p>
            <w:pPr>
              <w:pStyle w:val="Compact"/>
              <w:jc w:val="left"/>
            </w:pPr>
            <w:r>
              <w:t xml:space="preserve">PHP</w:t>
            </w:r>
          </w:p>
        </w:tc>
      </w:tr>
    </w:tbl>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issue. Beyond this period, all rates and terms are subject to revision based on prevailing Philippine banking industry conditions, BSP policy rate adjustments, and foreign exchange market volatility in Manila.</w:t>
      </w:r>
    </w:p>
    <w:p>
      <w:pPr>
        <w:pStyle w:val="BodyText"/>
      </w:pPr>
      <w:r>
        <w:rPr>
          <w:bCs/>
          <w:b/>
        </w:rPr>
        <w:t xml:space="preserve">3.2 Payment Terms:</w:t>
      </w:r>
      <w:r>
        <w:t xml:space="preserve"> </w:t>
      </w:r>
      <w:r>
        <w:t xml:space="preserve">A non-refundable retainer fee of twenty-five percent (25%) of the total Quotation Estimate amount shall be due upon execution of the Service Agreement. The remaining balance shall be payable in equal monthly installments over the twelve (12) month service period, due on the first business day of each month. All payments shall be made in Philippine Pesos via bank transfer to the designated account of Manila Premier Banker Services, Inc. at a BSP-regulated bank in Metro Manila.</w:t>
      </w:r>
    </w:p>
    <w:p>
      <w:pPr>
        <w:pStyle w:val="BodyText"/>
      </w:pPr>
      <w:r>
        <w:rPr>
          <w:bCs/>
          <w:b/>
        </w:rPr>
        <w:t xml:space="preserve">3.3 Scope Limitations:</w:t>
      </w:r>
      <w:r>
        <w:t xml:space="preserve"> </w:t>
      </w:r>
      <w:r>
        <w:t xml:space="preserve">The Banker services quoted herein are advisory and consultative in nature. Manila Premier Banker Services, Inc. does not act as a depository bank, and no client funds shall be held in trust by the Banker team. All transactions shall be executed through the client's own banking relationships with licensed Philippine financial institutions.</w:t>
      </w:r>
    </w:p>
    <w:p>
      <w:pPr>
        <w:pStyle w:val="BodyText"/>
      </w:pPr>
      <w:r>
        <w:rPr>
          <w:bCs/>
          <w:b/>
        </w:rPr>
        <w:t xml:space="preserve">3.4 Confidentiality:</w:t>
      </w:r>
      <w:r>
        <w:t xml:space="preserve"> </w:t>
      </w:r>
      <w:r>
        <w:t xml:space="preserve">All financial data, corporate strategies, and proprietary information shared during the engagement shall be treated as strictly confidential in accordance with the Philippine Data Privacy Act of 2012 (Republic Act No. 10173). The Banker team shall execute a Non-Disclosure Agreement (NDA) prior to commencing any service.</w:t>
      </w:r>
    </w:p>
    <w:p>
      <w:pPr>
        <w:pStyle w:val="BodyText"/>
      </w:pPr>
      <w:r>
        <w:rPr>
          <w:bCs/>
          <w:b/>
        </w:rPr>
        <w:t xml:space="preserve">3.5 Termination:</w:t>
      </w:r>
      <w:r>
        <w:t xml:space="preserve"> </w:t>
      </w:r>
      <w:r>
        <w:t xml:space="preserve">Either party may terminate the engagement with a written notice of sixty (60) days. In the event of early termination by the client without cause, a penalty equivalent to fifty percent (50%) of the remaining unamortized Quotation Estimate balance shall apply.</w:t>
      </w:r>
    </w:p>
    <w:p>
      <w:pPr>
        <w:pStyle w:val="BodyText"/>
      </w:pPr>
      <w:r>
        <w:rPr>
          <w:bCs/>
          <w:b/>
        </w:rPr>
        <w:t xml:space="preserve">3.6 Governing Law:</w:t>
      </w:r>
      <w:r>
        <w:t xml:space="preserve"> </w:t>
      </w:r>
      <w:r>
        <w:t xml:space="preserve">This Quotation Estimate and the resulting Service Agreement shall be governed by and construed in accordance with the laws of the Republic of the Philippines. Any disputes shall be resolved through arbitration under the rules of the Philippine Dispute Resolution Center, Inc. (PDRCI) in Manila.</w:t>
      </w:r>
    </w:p>
    <w:p>
      <w:pPr>
        <w:pStyle w:val="BodyText"/>
      </w:pPr>
      <w:r>
        <w:rPr>
          <w:bCs/>
          <w:b/>
        </w:rPr>
        <w:t xml:space="preserve">3.7 Force Majeure:</w:t>
      </w:r>
      <w:r>
        <w:t xml:space="preserve"> </w:t>
      </w:r>
      <w:r>
        <w:t xml:space="preserve">Neither party shall be liable for failure to perform obligations due to events beyond reasonable control, including but not limited to natural disasters affecting the Philippines Manila region, government-mandated closures, or systemic banking disruptions.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Banker services in the Philippines Manila area and agrees to the terms, conditions, and pricing outlined herein. This document does not constitute a binding contract until a formal Service Agreement is executed by both parties.</w:t>
      </w:r>
    </w:p>
    <w:p>
      <w:pPr>
        <w:pStyle w:val="BodyText"/>
      </w:pPr>
      <w:r>
        <w:rPr>
          <w:bCs/>
          <w:b/>
        </w:rPr>
        <w:t xml:space="preserve">For Manila Premier Banker Services, Inc.</w:t>
      </w:r>
    </w:p>
    <w:p>
      <w:pPr>
        <w:pStyle w:val="BodyText"/>
      </w:pPr>
      <w:r>
        <w:t xml:space="preserve">Authorized Banker Representative</w:t>
      </w:r>
    </w:p>
    <w:p>
      <w:pPr>
        <w:pStyle w:val="BodyText"/>
      </w:pPr>
      <w:r>
        <w:t xml:space="preserve">Name: ___________________________</w:t>
      </w:r>
    </w:p>
    <w:p>
      <w:pPr>
        <w:pStyle w:val="BodyText"/>
      </w:pPr>
      <w:r>
        <w:t xml:space="preserve">Title: Senior Corporate Banker</w:t>
      </w:r>
    </w:p>
    <w:p>
      <w:pPr>
        <w:pStyle w:val="BodyText"/>
      </w:pPr>
      <w:r>
        <w:t xml:space="preserve">Date: ___________________________</w:t>
      </w:r>
    </w:p>
    <w:p>
      <w:pPr>
        <w:pStyle w:val="BodyText"/>
      </w:pPr>
      <w:r>
        <w:rPr>
          <w:bCs/>
          <w:b/>
        </w:rPr>
        <w:t xml:space="preserve">For the Client</w:t>
      </w:r>
    </w:p>
    <w:p>
      <w:pPr>
        <w:pStyle w:val="BodyText"/>
      </w:pPr>
      <w:r>
        <w:t xml:space="preserve">Authorized Signatory</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Manila Premier Banker Services, Inc. | 128th Floor, Ayala Center Tower 2, Makati City, Metro Manila, Philippines</w:t>
      </w:r>
    </w:p>
    <w:p>
      <w:pPr>
        <w:pStyle w:val="BodyText"/>
      </w:pPr>
      <w:r>
        <w:t xml:space="preserve">Quotation Estimate No. QTE-2025-MNL-00847 | Page 1 of 1</w:t>
      </w:r>
    </w:p>
    <w:p>
      <w:pPr>
        <w:pStyle w:val="BodyText"/>
      </w:pPr>
      <w:r>
        <w:t xml:space="preserve">This document is the property of Manila Premier Banker Services, Inc. Unauthorized reproduction is prohibited under Philippine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Philippines Manila</dc:title>
  <dc:creator/>
  <dc:language>en</dc:language>
  <cp:keywords/>
  <dcterms:created xsi:type="dcterms:W3CDTF">2026-10-10T06:42:28Z</dcterms:created>
  <dcterms:modified xsi:type="dcterms:W3CDTF">2026-10-10T06:42:28Z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