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Banker Engagement &amp; Advisory Services</w:t>
      </w:r>
    </w:p>
    <w:p>
      <w:pPr>
        <w:pStyle w:val="BodyText"/>
      </w:pPr>
      <w:r>
        <w:t xml:space="preserve">Qatar Doha</w:t>
      </w:r>
      <w:r>
        <w:t xml:space="preserve"> </w:t>
      </w:r>
      <w:r>
        <w:t xml:space="preserve"> |  Financial Services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QTE-QTR-2025-04782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 (Client)</w:t>
            </w:r>
          </w:p>
        </w:tc>
        <w:tc>
          <w:tcPr/>
          <w:p>
            <w:pPr>
              <w:pStyle w:val="Compact"/>
              <w:jc w:val="left"/>
            </w:pPr>
            <w:r>
              <w:t xml:space="preserve">Al Rayyan Corporate Holdings LLC, Doha, State of Qatar</w:t>
            </w:r>
          </w:p>
        </w:tc>
      </w:tr>
      <w:tr>
        <w:tc>
          <w:tcPr/>
          <w:p>
            <w:pPr>
              <w:pStyle w:val="Compact"/>
              <w:jc w:val="left"/>
            </w:pPr>
            <w:r>
              <w:t xml:space="preserve">Prepared By (Provider)</w:t>
            </w:r>
          </w:p>
        </w:tc>
        <w:tc>
          <w:tcPr/>
          <w:p>
            <w:pPr>
              <w:pStyle w:val="Compact"/>
              <w:jc w:val="left"/>
            </w:pPr>
            <w:r>
              <w:t xml:space="preserve">Peninsula Financial Advisory Group, Office 12, Level 4, Doha Financial Centre, West Bay, Doha, Qatar</w:t>
            </w:r>
          </w:p>
        </w:tc>
      </w:tr>
      <w:tr>
        <w:tc>
          <w:tcPr/>
          <w:p>
            <w:pPr>
              <w:pStyle w:val="Compact"/>
              <w:jc w:val="left"/>
            </w:pPr>
            <w:r>
              <w:t xml:space="preserve">Service Location</w:t>
            </w:r>
          </w:p>
        </w:tc>
        <w:tc>
          <w:tcPr/>
          <w:p>
            <w:pPr>
              <w:pStyle w:val="Compact"/>
              <w:jc w:val="left"/>
            </w:pPr>
            <w:r>
              <w:t xml:space="preserve">Doha, State of Qatar (Primary) — with optional satellite support in Lusail and Al Wakrah</w:t>
            </w:r>
          </w:p>
        </w:tc>
      </w:tr>
      <w:tr>
        <w:tc>
          <w:tcPr/>
          <w:p>
            <w:pPr>
              <w:pStyle w:val="Compact"/>
              <w:jc w:val="left"/>
            </w:pPr>
            <w:r>
              <w:t xml:space="preserve">Currency</w:t>
            </w:r>
          </w:p>
        </w:tc>
        <w:tc>
          <w:tcPr/>
          <w:p>
            <w:pPr>
              <w:pStyle w:val="Compact"/>
              <w:jc w:val="left"/>
            </w:pPr>
            <w:r>
              <w:t xml:space="preserve">Qatari Riyal (QAR)</w:t>
            </w:r>
          </w:p>
        </w:tc>
      </w:tr>
    </w:tbl>
    <w:bookmarkStart w:id="21" w:name="executive-summary"/>
    <w:p>
      <w:pPr>
        <w:pStyle w:val="Heading2"/>
      </w:pPr>
      <w:r>
        <w:t xml:space="preserve">1. Executive Summary</w:t>
      </w:r>
    </w:p>
    <w:p>
      <w:pPr>
        <w:pStyle w:val="FirstParagraph"/>
      </w:pPr>
      <w:r>
        <w:t xml:space="preserve">This Quotation Estimate is issued by Peninsula Financial Advisory Group in response to the formal request received from Al Rayyan Corporate Holdings LLC for the engagement of a senior Banker to provide comprehensive financial advisory, treasury management, and corporate banking coordination services within the State of Qatar, specifically headquartered in Doha. The proposed Banker will operate under the direct supervision of the client's Chief Financial Officer and will be embedded within the Doha Financial Centre (DFC) ecosystem to ensure full compliance with the regulatory framework established by the Qatar Central Bank (QCB) and the Qatar Financial Centre Regulatory Authority (QFCRA).</w:t>
      </w:r>
    </w:p>
    <w:p>
      <w:pPr>
        <w:pStyle w:val="BodyText"/>
      </w:pPr>
      <w:r>
        <w:t xml:space="preserve">The scope of this Quotation Estimate covers a twelve-month engagement period commencing on 1 September 2025, with the option to extend for successive twelve-month terms subject to mutual written agreement. All rates quoted herein are inclusive of Value Added Tax (VAT) at the prevailing rate of 5% as mandated by the Qatar Tax Authority, unless otherwise stated.</w:t>
      </w:r>
    </w:p>
    <w:bookmarkEnd w:id="21"/>
    <w:bookmarkStart w:id="22" w:name="Xed6f7ade1214d40892a8a233d622ecc415f8cec"/>
    <w:p>
      <w:pPr>
        <w:pStyle w:val="Heading2"/>
      </w:pPr>
      <w:r>
        <w:t xml:space="preserve">2. Scope of Services — Banker Role in Qatar Doha</w:t>
      </w:r>
    </w:p>
    <w:p>
      <w:pPr>
        <w:pStyle w:val="FirstParagraph"/>
      </w:pPr>
      <w:r>
        <w:t xml:space="preserve">The Banker engaged under this Quotation Estimate shall perform the following duties and responsibilities while operating out of the Doha Financial Centre:</w:t>
      </w:r>
    </w:p>
    <w:p>
      <w:pPr>
        <w:numPr>
          <w:ilvl w:val="0"/>
          <w:numId w:val="1001"/>
        </w:numPr>
        <w:pStyle w:val="Compact"/>
      </w:pPr>
      <w:r>
        <w:t xml:space="preserve">Day-to-day management of corporate banking relationships with Qatari and international financial institutions operating in Doha, including QNB, Doha Bank, and international correspondent banks.</w:t>
      </w:r>
    </w:p>
    <w:p>
      <w:pPr>
        <w:numPr>
          <w:ilvl w:val="0"/>
          <w:numId w:val="1001"/>
        </w:numPr>
        <w:pStyle w:val="Compact"/>
      </w:pPr>
      <w:r>
        <w:t xml:space="preserve">Treasury operations including foreign exchange hedging, liquidity management, and intercompany fund transfers compliant with QCB regulations.</w:t>
      </w:r>
    </w:p>
    <w:p>
      <w:pPr>
        <w:numPr>
          <w:ilvl w:val="0"/>
          <w:numId w:val="1001"/>
        </w:numPr>
        <w:pStyle w:val="Compact"/>
      </w:pPr>
      <w:r>
        <w:t xml:space="preserve">Preparation and submission of all mandatory regulatory filings to the Qatar Central Bank and the Qatar Financial Centre Regulatory Authority on behalf of the client entity.</w:t>
      </w:r>
    </w:p>
    <w:p>
      <w:pPr>
        <w:numPr>
          <w:ilvl w:val="0"/>
          <w:numId w:val="1001"/>
        </w:numPr>
        <w:pStyle w:val="Compact"/>
      </w:pPr>
      <w:r>
        <w:t xml:space="preserve">Coordination of trade finance instruments, letters of credit, and bank guarantees for the client's import-export operations through Doha's port and airport logistics corridors.</w:t>
      </w:r>
    </w:p>
    <w:p>
      <w:pPr>
        <w:numPr>
          <w:ilvl w:val="0"/>
          <w:numId w:val="1001"/>
        </w:numPr>
        <w:pStyle w:val="Compact"/>
      </w:pPr>
      <w:r>
        <w:t xml:space="preserve">Monthly and quarterly financial reporting, cash-flow forecasting, and budget variance analysis tailored to the client's multi-divisional structure in Qatar.</w:t>
      </w:r>
    </w:p>
    <w:p>
      <w:pPr>
        <w:numPr>
          <w:ilvl w:val="0"/>
          <w:numId w:val="1001"/>
        </w:numPr>
        <w:pStyle w:val="Compact"/>
      </w:pPr>
      <w:r>
        <w:t xml:space="preserve">Liaison with the Qatar Development Bank (QDB) and the Qatar Financial Centre (QFC) for any financing, grant, or incentive applications.</w:t>
      </w:r>
    </w:p>
    <w:p>
      <w:pPr>
        <w:numPr>
          <w:ilvl w:val="0"/>
          <w:numId w:val="1001"/>
        </w:numPr>
        <w:pStyle w:val="Compact"/>
      </w:pPr>
      <w:r>
        <w:t xml:space="preserve">Advisory support on Qatari corporate tax, customs duties, and the new Qatari Commercial Companies Law amendments as they pertain to banking and financial transactions.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(QAR)</w:t>
            </w:r>
          </w:p>
        </w:tc>
        <w:tc>
          <w:tcPr/>
          <w:p>
            <w:pPr>
              <w:pStyle w:val="Compact"/>
              <w:jc w:val="left"/>
            </w:pPr>
            <w:r>
              <w:t xml:space="preserve">Qty</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Banker — Monthly Professional Fee (12-month engagement in Doha)</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Banker Visa, Work Permit &amp; Qatari Residency (Iqama) Processing</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Corporate Health Insurance for the Banker (Qatar Doha network)</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Office Workspace &amp; IT Infrastructure at DFC, West Bay, Doha</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Regulatory Compliance &amp; QCB Filing Support (per filing cycle)</w:t>
            </w:r>
          </w:p>
        </w:tc>
        <w:tc>
          <w:tcPr/>
          <w:p>
            <w:pPr>
              <w:pStyle w:val="Compact"/>
              <w:jc w:val="left"/>
            </w:pPr>
            <w:r>
              <w:t xml:space="preserve">Quarter</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Trade Finance &amp; Letter of Credit Coordination (per transaction)</w:t>
            </w:r>
          </w:p>
        </w:tc>
        <w:tc>
          <w:tcPr/>
          <w:p>
            <w:pPr>
              <w:pStyle w:val="Compact"/>
              <w:jc w:val="left"/>
            </w:pPr>
            <w:r>
              <w:t xml:space="preserve">Transaction</w:t>
            </w:r>
          </w:p>
        </w:tc>
        <w:tc>
          <w:tcPr/>
          <w:p>
            <w:pPr>
              <w:pStyle w:val="Compact"/>
              <w:jc w:val="left"/>
            </w:pPr>
            <w:r>
              <w:t xml:space="preserve">2,500.00</w:t>
            </w:r>
          </w:p>
        </w:tc>
        <w:tc>
          <w:tcPr/>
          <w:p>
            <w:pPr>
              <w:pStyle w:val="Compact"/>
              <w:jc w:val="left"/>
            </w:pPr>
            <w:r>
              <w:t xml:space="preserve">24</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Monthly Financial Reporting &amp; Cash-Flow Analysis Package</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Onboarding, Orientation &amp; Qatari Banking Law Training for the Banker</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Annual Performance Review &amp; Contract Renewal Advisory</w:t>
            </w:r>
          </w:p>
        </w:tc>
        <w:tc>
          <w:tcPr/>
          <w:p>
            <w:pPr>
              <w:pStyle w:val="Compact"/>
              <w:jc w:val="left"/>
            </w:pPr>
            <w:r>
              <w:t xml:space="preserve">Year</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gridSpan w:val="5"/>
          </w:tcPr>
          <w:p>
            <w:pPr>
              <w:pStyle w:val="Compact"/>
              <w:jc w:val="right"/>
            </w:pPr>
            <w:r>
              <w:t xml:space="preserve">Subtotal (QAR)</w:t>
            </w:r>
          </w:p>
        </w:tc>
        <w:tc>
          <w:tcPr/>
          <w:p>
            <w:pPr>
              <w:pStyle w:val="Compact"/>
              <w:jc w:val="left"/>
            </w:pPr>
            <w:r>
              <w:t xml:space="preserve">819,400.00</w:t>
            </w:r>
          </w:p>
        </w:tc>
      </w:tr>
      <w:tr>
        <w:tc>
          <w:tcPr>
            <w:gridSpan w:val="5"/>
          </w:tcPr>
          <w:p>
            <w:pPr>
              <w:pStyle w:val="Compact"/>
              <w:jc w:val="right"/>
            </w:pPr>
            <w:r>
              <w:t xml:space="preserve">VAT @ 5% (Qatar Tax Authority)</w:t>
            </w:r>
          </w:p>
        </w:tc>
        <w:tc>
          <w:tcPr/>
          <w:p>
            <w:pPr>
              <w:pStyle w:val="Compact"/>
              <w:jc w:val="left"/>
            </w:pPr>
            <w:r>
              <w:t xml:space="preserve">40,970.00</w:t>
            </w:r>
          </w:p>
        </w:tc>
      </w:tr>
      <w:tr>
        <w:tc>
          <w:tcPr>
            <w:gridSpan w:val="5"/>
          </w:tcPr>
          <w:p>
            <w:pPr>
              <w:pStyle w:val="Compact"/>
              <w:jc w:val="right"/>
            </w:pPr>
            <w:r>
              <w:t xml:space="preserve">TOTAL AMOUNT DUE (QAR)</w:t>
            </w:r>
          </w:p>
        </w:tc>
        <w:tc>
          <w:tcPr/>
          <w:p>
            <w:pPr>
              <w:pStyle w:val="Compact"/>
              <w:jc w:val="left"/>
            </w:pPr>
            <w:r>
              <w:t xml:space="preserve">860,370.00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Qatari Riyal (QAR) via bank transfer to the designated account of Peninsula Financial Advisory Group at a licensed commercial bank in Doha, Qatar. The payment schedule is structured as follows: an initial mobilization payment of 25% (QAR 215,092.50) due within ten (10) business days of contract execution; monthly professional fees payable in arrears by the fifth business day of the following month; and all lump-sum items (visa processing, insurance, onboarding) payable within fifteen (15) days of invoice issuance. Late payments shall attract a penalty interest of 1.5% per month as permitted under Qatari commercial law.</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Qatar Doha.</w:t>
      </w:r>
    </w:p>
    <w:p>
      <w:pPr>
        <w:numPr>
          <w:ilvl w:val="0"/>
          <w:numId w:val="1002"/>
        </w:numPr>
        <w:pStyle w:val="Compact"/>
      </w:pPr>
      <w:r>
        <w:t xml:space="preserve">The Banker shall be bound by a strict confidentiality and non-disclosure agreement in accordance with Qatari data protection regulations and QFCRA guidelines.</w:t>
      </w:r>
    </w:p>
    <w:p>
      <w:pPr>
        <w:numPr>
          <w:ilvl w:val="0"/>
          <w:numId w:val="1002"/>
        </w:numPr>
        <w:pStyle w:val="Compact"/>
      </w:pPr>
      <w:r>
        <w:t xml:space="preserve">Either party may terminate the engagement with a written notice of sixty (60) days. In the event of early termination, a pro-rata settlement of all committed costs shall apply.</w:t>
      </w:r>
    </w:p>
    <w:p>
      <w:pPr>
        <w:numPr>
          <w:ilvl w:val="0"/>
          <w:numId w:val="1002"/>
        </w:numPr>
        <w:pStyle w:val="Compact"/>
      </w:pPr>
      <w:r>
        <w:t xml:space="preserve">The Banker shall comply with all anti-money laundering (AML) and counter-terrorist financing (CTF) regulations enforced by the Qatar Central Bank and the Financial Intelligence Unit (FIU) in Doha.</w:t>
      </w:r>
    </w:p>
    <w:p>
      <w:pPr>
        <w:numPr>
          <w:ilvl w:val="0"/>
          <w:numId w:val="1002"/>
        </w:numPr>
        <w:pStyle w:val="Compact"/>
      </w:pPr>
      <w:r>
        <w:t xml:space="preserve">All disputes arising from this Quotation Estimate and the subsequent service agreement shall be resolved through arbitration in Doha, Qatar, in accordance with the rules of the Qatar International Arbitration Centre (QIAC).</w:t>
      </w:r>
    </w:p>
    <w:p>
      <w:pPr>
        <w:numPr>
          <w:ilvl w:val="0"/>
          <w:numId w:val="1002"/>
        </w:numPr>
        <w:pStyle w:val="Compact"/>
      </w:pPr>
      <w:r>
        <w:t xml:space="preserve">This Quotation Estimate does not constitute a binding contract until a formal Service Agreement is executed by both parties on letterhead with authorized signatures.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Banker engagement in Qatar Doha and agrees to the terms, conditions, and financial obligations set forth herein. The Provider confirms that all quoted rates are accurate as of the date of issue and that the Banker candidate meets all professional qualifications required by Qatari regulatory authorities.</w:t>
      </w:r>
    </w:p>
    <w:p>
      <w:pPr>
        <w:pStyle w:val="BodyText"/>
      </w:pPr>
      <w:r>
        <w:rPr>
          <w:bCs/>
          <w:b/>
        </w:rPr>
        <w:t xml:space="preserve">For: Al Rayyan Corporate Holdings LLC</w:t>
      </w:r>
      <w:r>
        <w:br/>
      </w:r>
      <w:r>
        <w:t xml:space="preserve">Name: ___________________________</w:t>
      </w:r>
      <w:r>
        <w:br/>
      </w:r>
      <w:r>
        <w:t xml:space="preserve">Title: Chief Financial Officer</w:t>
      </w:r>
      <w:r>
        <w:br/>
      </w:r>
      <w:r>
        <w:t xml:space="preserve">Signature &amp; Company Stamp</w:t>
      </w:r>
      <w:r>
        <w:br/>
      </w:r>
      <w:r>
        <w:t xml:space="preserve">Date: _______________</w:t>
      </w:r>
    </w:p>
    <w:p>
      <w:pPr>
        <w:pStyle w:val="BodyText"/>
      </w:pPr>
      <w:r>
        <w:rPr>
          <w:bCs/>
          <w:b/>
        </w:rPr>
        <w:t xml:space="preserve">For: Peninsula Financial Advisory Group</w:t>
      </w:r>
      <w:r>
        <w:br/>
      </w:r>
      <w:r>
        <w:t xml:space="preserve">Name: ___________________________</w:t>
      </w:r>
      <w:r>
        <w:br/>
      </w:r>
      <w:r>
        <w:t xml:space="preserve">Title: Managing Director</w:t>
      </w:r>
      <w:r>
        <w:br/>
      </w:r>
      <w:r>
        <w:t xml:space="preserve">Signature &amp; Company Stamp</w:t>
      </w:r>
      <w:r>
        <w:br/>
      </w:r>
      <w:r>
        <w:t xml:space="preserve">Date: _______________</w:t>
      </w:r>
    </w:p>
    <w:p>
      <w:pPr>
        <w:pStyle w:val="BodyText"/>
      </w:pPr>
      <w:r>
        <w:rPr>
          <w:bCs/>
          <w:b/>
        </w:rPr>
        <w:t xml:space="preserve">Important Notice:</w:t>
      </w:r>
      <w:r>
        <w:t xml:space="preserve"> </w:t>
      </w:r>
      <w:r>
        <w:t xml:space="preserve">This Quotation Estimate is prepared exclusively for the client named above and is not transferable. All financial figures are denominated in Qatari Riyal (QAR) and are subject to the 5% Value Added Tax as prescribed by the Qatar Tax Authority. The Banker services described herein are tailored to the regulatory and operational environment of Qatar Doha, including the Doha Financial Centre and the Qatar Financial Centre. For queries or amendments, please contact our Doha office at +974-4400-1234 or quotations.doha@peninsulafa.qa. This document is the property of Peninsula Financial Advisory Group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Qatar Doha</dc:title>
  <dc:creator/>
  <dc:language>en</dc:language>
  <cp:keywords/>
  <dcterms:created xsi:type="dcterms:W3CDTF">2026-10-10T06:19:56Z</dcterms:created>
  <dcterms:modified xsi:type="dcterms:W3CDTF">2026-10-10T06:19:56Z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