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quotation-estimate"/>
    <w:p>
      <w:pPr>
        <w:pStyle w:val="Heading1"/>
      </w:pPr>
      <w:r>
        <w:t xml:space="preserve">QUOTATION ESTIMATE</w:t>
      </w:r>
    </w:p>
    <w:p>
      <w:pPr>
        <w:pStyle w:val="FirstParagraph"/>
      </w:pPr>
      <w:r>
        <w:t xml:space="preserve">Professional Banker Services — Russia Moscow Region</w:t>
      </w:r>
    </w:p>
    <w:p>
      <w:pPr>
        <w:pStyle w:val="BodyText"/>
      </w:pPr>
      <w:r>
        <w:t xml:space="preserve">Document Reference: QE-RM-2025-0487 | Issued: 15 June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Meridian Capital Advisory Group, 12 Tverskaya Street, Moscow, Russia 125009</w:t>
            </w:r>
          </w:p>
        </w:tc>
      </w:tr>
      <w:tr>
        <w:tc>
          <w:tcPr/>
          <w:p>
            <w:pPr>
              <w:pStyle w:val="Compact"/>
              <w:jc w:val="left"/>
            </w:pPr>
            <w:r>
              <w:t xml:space="preserve">Prepared For:</w:t>
            </w:r>
          </w:p>
        </w:tc>
        <w:tc>
          <w:tcPr/>
          <w:p>
            <w:pPr>
              <w:pStyle w:val="Compact"/>
              <w:jc w:val="left"/>
            </w:pPr>
            <w:r>
              <w:t xml:space="preserve">Client Entity (Name to be confirmed upon acceptance of this Quotation Estimate)</w:t>
            </w:r>
          </w:p>
        </w:tc>
      </w:tr>
      <w:tr>
        <w:tc>
          <w:tcPr/>
          <w:p>
            <w:pPr>
              <w:pStyle w:val="Compact"/>
              <w:jc w:val="left"/>
            </w:pPr>
            <w:r>
              <w:t xml:space="preserve">Service Location:</w:t>
            </w:r>
          </w:p>
        </w:tc>
        <w:tc>
          <w:tcPr/>
          <w:p>
            <w:pPr>
              <w:pStyle w:val="Compact"/>
              <w:jc w:val="left"/>
            </w:pPr>
            <w:r>
              <w:t xml:space="preserve">Russia Moscow — Primary offices at Moscow City Business Center, Presnenskaya Embankment, 12</w:t>
            </w:r>
          </w:p>
        </w:tc>
      </w:tr>
      <w:tr>
        <w:tc>
          <w:tcPr/>
          <w:p>
            <w:pPr>
              <w:pStyle w:val="Compact"/>
              <w:jc w:val="left"/>
            </w:pPr>
            <w:r>
              <w:t xml:space="preserve">Quotation Validity:</w:t>
            </w:r>
          </w:p>
        </w:tc>
        <w:tc>
          <w:tcPr/>
          <w:p>
            <w:pPr>
              <w:pStyle w:val="Compact"/>
              <w:jc w:val="left"/>
            </w:pPr>
            <w:r>
              <w:t xml:space="preserve">30 calendar days from the date of issue (expires 15 July 2025)</w:t>
            </w:r>
          </w:p>
        </w:tc>
      </w:tr>
      <w:tr>
        <w:tc>
          <w:tcPr/>
          <w:p>
            <w:pPr>
              <w:pStyle w:val="Compact"/>
              <w:jc w:val="left"/>
            </w:pPr>
            <w:r>
              <w:t xml:space="preserve">Currency:</w:t>
            </w:r>
          </w:p>
        </w:tc>
        <w:tc>
          <w:tcPr/>
          <w:p>
            <w:pPr>
              <w:pStyle w:val="Compact"/>
              <w:jc w:val="left"/>
            </w:pPr>
            <w:r>
              <w:t xml:space="preserve">Russian Ruble (RUB) / US Dollar (USD) — dual-currency pricing</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Meridian Capital Advisory Group to provide a comprehensive, itemized cost breakdown for the engagement of a senior</w:t>
      </w:r>
      <w:r>
        <w:t xml:space="preserve"> </w:t>
      </w:r>
      <w:r>
        <w:t xml:space="preserve">Banker</w:t>
      </w:r>
      <w:r>
        <w:t xml:space="preserve"> </w:t>
      </w:r>
      <w:r>
        <w:t xml:space="preserve">professional to deliver strategic financial advisory, transaction structuring, and institutional banking services within the</w:t>
      </w:r>
      <w:r>
        <w:t xml:space="preserve"> </w:t>
      </w:r>
      <w:r>
        <w:t xml:space="preserve">Russia Moscow</w:t>
      </w:r>
      <w:r>
        <w:t xml:space="preserve"> </w:t>
      </w:r>
      <w:r>
        <w:t xml:space="preserve">metropolitan area and its surrounding jurisdictions. The scope of this Quotation Estimate covers a twelve-month retainer period commencing upon mutual written acceptance, during which the designated Banker will serve as the primary point of contact for all banking operations, credit facility negotiations, and capital market engagements conducted in Russia Moscow.</w:t>
      </w:r>
    </w:p>
    <w:p>
      <w:pPr>
        <w:pStyle w:val="BodyText"/>
      </w:pPr>
      <w:r>
        <w:t xml:space="preserve">The Banker engagement described herein is tailored to the specific regulatory, operational, and market conditions prevailing in Russia Moscow, including compliance with the Central Bank of the Russian Federation (CBRF) guidelines, local tax obligations, and the evolving landscape of cross-border financial transactions affecting entities operating in the Russia Moscow region.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Banker Service</w:t>
            </w:r>
          </w:p>
        </w:tc>
        <w:tc>
          <w:tcPr/>
          <w:p>
            <w:pPr>
              <w:pStyle w:val="Compact"/>
              <w:jc w:val="left"/>
            </w:pPr>
            <w:r>
              <w:t xml:space="preserve">Duration / Frequency</w:t>
            </w:r>
          </w:p>
        </w:tc>
        <w:tc>
          <w:tcPr/>
          <w:p>
            <w:pPr>
              <w:pStyle w:val="Compact"/>
              <w:jc w:val="left"/>
            </w:pPr>
            <w:r>
              <w:t xml:space="preserve">Cost (RUB)</w:t>
            </w:r>
          </w:p>
        </w:tc>
        <w:tc>
          <w:tcPr/>
          <w:p>
            <w:pPr>
              <w:pStyle w:val="Compact"/>
              <w:jc w:val="left"/>
            </w:pPr>
            <w:r>
              <w:t xml:space="preserve">Cost (USD)</w:t>
            </w:r>
          </w:p>
        </w:tc>
      </w:tr>
      <w:tr>
        <w:tc>
          <w:tcPr/>
          <w:p>
            <w:pPr>
              <w:pStyle w:val="Compact"/>
              <w:jc w:val="left"/>
            </w:pPr>
            <w:r>
              <w:t xml:space="preserve">01</w:t>
            </w:r>
          </w:p>
        </w:tc>
        <w:tc>
          <w:tcPr/>
          <w:p>
            <w:pPr>
              <w:pStyle w:val="Compact"/>
              <w:jc w:val="left"/>
            </w:pPr>
            <w:r>
              <w:t xml:space="preserve">Senior Banker Retainer — Full-time strategic banking advisory, daily availability in Russia Moscow office</w:t>
            </w:r>
          </w:p>
        </w:tc>
        <w:tc>
          <w:tcPr/>
          <w:p>
            <w:pPr>
              <w:pStyle w:val="Compact"/>
              <w:jc w:val="left"/>
            </w:pPr>
            <w:r>
              <w:t xml:space="preserve">12 months (monthly)</w:t>
            </w:r>
          </w:p>
        </w:tc>
        <w:tc>
          <w:tcPr/>
          <w:p>
            <w:pPr>
              <w:pStyle w:val="Compact"/>
              <w:jc w:val="left"/>
            </w:pPr>
            <w:r>
              <w:t xml:space="preserve">1,200,000</w:t>
            </w:r>
          </w:p>
        </w:tc>
        <w:tc>
          <w:tcPr/>
          <w:p>
            <w:pPr>
              <w:pStyle w:val="Compact"/>
              <w:jc w:val="left"/>
            </w:pPr>
            <w:r>
              <w:t xml:space="preserve">13,200</w:t>
            </w:r>
          </w:p>
        </w:tc>
      </w:tr>
      <w:tr>
        <w:tc>
          <w:tcPr/>
          <w:p>
            <w:pPr>
              <w:pStyle w:val="Compact"/>
              <w:jc w:val="left"/>
            </w:pPr>
            <w:r>
              <w:t xml:space="preserve">02</w:t>
            </w:r>
          </w:p>
        </w:tc>
        <w:tc>
          <w:tcPr/>
          <w:p>
            <w:pPr>
              <w:pStyle w:val="Compact"/>
              <w:jc w:val="left"/>
            </w:pPr>
            <w:r>
              <w:t xml:space="preserve">Credit Facility Structuring &amp; Negotiation — Banker-led engagement with CBRF-licensed institutions in Russia Moscow</w:t>
            </w:r>
          </w:p>
        </w:tc>
        <w:tc>
          <w:tcPr/>
          <w:p>
            <w:pPr>
              <w:pStyle w:val="Compact"/>
              <w:jc w:val="left"/>
            </w:pPr>
            <w:r>
              <w:t xml:space="preserve">Per transaction (up to 4)</w:t>
            </w:r>
          </w:p>
        </w:tc>
        <w:tc>
          <w:tcPr/>
          <w:p>
            <w:pPr>
              <w:pStyle w:val="Compact"/>
              <w:jc w:val="left"/>
            </w:pPr>
            <w:r>
              <w:t xml:space="preserve">450,000</w:t>
            </w:r>
          </w:p>
        </w:tc>
        <w:tc>
          <w:tcPr/>
          <w:p>
            <w:pPr>
              <w:pStyle w:val="Compact"/>
              <w:jc w:val="left"/>
            </w:pPr>
            <w:r>
              <w:t xml:space="preserve">4,950</w:t>
            </w:r>
          </w:p>
        </w:tc>
      </w:tr>
      <w:tr>
        <w:tc>
          <w:tcPr/>
          <w:p>
            <w:pPr>
              <w:pStyle w:val="Compact"/>
              <w:jc w:val="left"/>
            </w:pPr>
            <w:r>
              <w:t xml:space="preserve">03</w:t>
            </w:r>
          </w:p>
        </w:tc>
        <w:tc>
          <w:tcPr/>
          <w:p>
            <w:pPr>
              <w:pStyle w:val="Compact"/>
              <w:jc w:val="left"/>
            </w:pPr>
            <w:r>
              <w:t xml:space="preserve">Regulatory Compliance Review — Banker oversight of CBRF reporting, AML/KYC protocols specific to Russia Moscow operations</w:t>
            </w:r>
          </w:p>
        </w:tc>
        <w:tc>
          <w:tcPr/>
          <w:p>
            <w:pPr>
              <w:pStyle w:val="Compact"/>
              <w:jc w:val="left"/>
            </w:pPr>
            <w:r>
              <w:t xml:space="preserve">Quarterly (4 cycles)</w:t>
            </w:r>
          </w:p>
        </w:tc>
        <w:tc>
          <w:tcPr/>
          <w:p>
            <w:pPr>
              <w:pStyle w:val="Compact"/>
              <w:jc w:val="left"/>
            </w:pPr>
            <w:r>
              <w:t xml:space="preserve">180,000</w:t>
            </w:r>
          </w:p>
        </w:tc>
        <w:tc>
          <w:tcPr/>
          <w:p>
            <w:pPr>
              <w:pStyle w:val="Compact"/>
              <w:jc w:val="left"/>
            </w:pPr>
            <w:r>
              <w:t xml:space="preserve">1,980</w:t>
            </w:r>
          </w:p>
        </w:tc>
      </w:tr>
      <w:tr>
        <w:tc>
          <w:tcPr/>
          <w:p>
            <w:pPr>
              <w:pStyle w:val="Compact"/>
              <w:jc w:val="left"/>
            </w:pPr>
            <w:r>
              <w:t xml:space="preserve">04</w:t>
            </w:r>
          </w:p>
        </w:tc>
        <w:tc>
          <w:tcPr/>
          <w:p>
            <w:pPr>
              <w:pStyle w:val="Compact"/>
              <w:jc w:val="left"/>
            </w:pPr>
            <w:r>
              <w:t xml:space="preserve">Capital Market Access Advisory — Banker coordination for bond issuance and equity placement in Russia Moscow financial markets</w:t>
            </w:r>
          </w:p>
        </w:tc>
        <w:tc>
          <w:tcPr/>
          <w:p>
            <w:pPr>
              <w:pStyle w:val="Compact"/>
              <w:jc w:val="left"/>
            </w:pPr>
            <w:r>
              <w:t xml:space="preserve">As required (up to 2)</w:t>
            </w:r>
          </w:p>
        </w:tc>
        <w:tc>
          <w:tcPr/>
          <w:p>
            <w:pPr>
              <w:pStyle w:val="Compact"/>
              <w:jc w:val="left"/>
            </w:pPr>
            <w:r>
              <w:t xml:space="preserve">600,000</w:t>
            </w:r>
          </w:p>
        </w:tc>
        <w:tc>
          <w:tcPr/>
          <w:p>
            <w:pPr>
              <w:pStyle w:val="Compact"/>
              <w:jc w:val="left"/>
            </w:pPr>
            <w:r>
              <w:t xml:space="preserve">6,600</w:t>
            </w:r>
          </w:p>
        </w:tc>
      </w:tr>
      <w:tr>
        <w:tc>
          <w:tcPr/>
          <w:p>
            <w:pPr>
              <w:pStyle w:val="Compact"/>
              <w:jc w:val="left"/>
            </w:pPr>
            <w:r>
              <w:t xml:space="preserve">05</w:t>
            </w:r>
          </w:p>
        </w:tc>
        <w:tc>
          <w:tcPr/>
          <w:p>
            <w:pPr>
              <w:pStyle w:val="Compact"/>
              <w:jc w:val="left"/>
            </w:pPr>
            <w:r>
              <w:t xml:space="preserve">On-Site Banking Operations Management — Banker presence at client premises in Russia Moscow for daily treasury and liquidity management</w:t>
            </w:r>
          </w:p>
        </w:tc>
        <w:tc>
          <w:tcPr/>
          <w:p>
            <w:pPr>
              <w:pStyle w:val="Compact"/>
              <w:jc w:val="left"/>
            </w:pPr>
            <w:r>
              <w:t xml:space="preserve">12 months (daily)</w:t>
            </w:r>
          </w:p>
        </w:tc>
        <w:tc>
          <w:tcPr/>
          <w:p>
            <w:pPr>
              <w:pStyle w:val="Compact"/>
              <w:jc w:val="left"/>
            </w:pPr>
            <w:r>
              <w:t xml:space="preserve">840,000</w:t>
            </w:r>
          </w:p>
        </w:tc>
        <w:tc>
          <w:tcPr/>
          <w:p>
            <w:pPr>
              <w:pStyle w:val="Compact"/>
              <w:jc w:val="left"/>
            </w:pPr>
            <w:r>
              <w:t xml:space="preserve">9,240</w:t>
            </w:r>
          </w:p>
        </w:tc>
      </w:tr>
      <w:tr>
        <w:tc>
          <w:tcPr/>
          <w:p>
            <w:pPr>
              <w:pStyle w:val="Compact"/>
              <w:jc w:val="left"/>
            </w:pPr>
            <w:r>
              <w:t xml:space="preserve">06</w:t>
            </w:r>
          </w:p>
        </w:tc>
        <w:tc>
          <w:tcPr/>
          <w:p>
            <w:pPr>
              <w:pStyle w:val="Compact"/>
              <w:jc w:val="left"/>
            </w:pPr>
            <w:r>
              <w:t xml:space="preserve">Emergency Banking Response — 24/7 Banker availability for critical financial incidents in Russia Moscow</w:t>
            </w:r>
          </w:p>
        </w:tc>
        <w:tc>
          <w:tcPr/>
          <w:p>
            <w:pPr>
              <w:pStyle w:val="Compact"/>
              <w:jc w:val="left"/>
            </w:pPr>
            <w:r>
              <w:t xml:space="preserve">12 months (standby)</w:t>
            </w:r>
          </w:p>
        </w:tc>
        <w:tc>
          <w:tcPr/>
          <w:p>
            <w:pPr>
              <w:pStyle w:val="Compact"/>
              <w:jc w:val="left"/>
            </w:pPr>
            <w:r>
              <w:t xml:space="preserve">120,000</w:t>
            </w:r>
          </w:p>
        </w:tc>
        <w:tc>
          <w:tcPr/>
          <w:p>
            <w:pPr>
              <w:pStyle w:val="Compact"/>
              <w:jc w:val="left"/>
            </w:pPr>
            <w:r>
              <w:t xml:space="preserve">1,320</w:t>
            </w:r>
          </w:p>
        </w:tc>
      </w:tr>
      <w:tr>
        <w:tc>
          <w:tcPr/>
          <w:p>
            <w:pPr>
              <w:pStyle w:val="Compact"/>
              <w:jc w:val="left"/>
            </w:pPr>
            <w:r>
              <w:t xml:space="preserve">07</w:t>
            </w:r>
          </w:p>
        </w:tc>
        <w:tc>
          <w:tcPr/>
          <w:p>
            <w:pPr>
              <w:pStyle w:val="Compact"/>
              <w:jc w:val="left"/>
            </w:pPr>
            <w:r>
              <w:t xml:space="preserve">Travel &amp; Logistics within Russia Moscow — Banker transportation, secure document courier, and meeting facility costs</w:t>
            </w:r>
          </w:p>
        </w:tc>
        <w:tc>
          <w:tcPr/>
          <w:p>
            <w:pPr>
              <w:pStyle w:val="Compact"/>
              <w:jc w:val="left"/>
            </w:pPr>
            <w:r>
              <w:t xml:space="preserve">12 months</w:t>
            </w:r>
          </w:p>
        </w:tc>
        <w:tc>
          <w:tcPr/>
          <w:p>
            <w:pPr>
              <w:pStyle w:val="Compact"/>
              <w:jc w:val="left"/>
            </w:pPr>
            <w:r>
              <w:t xml:space="preserve">96,000</w:t>
            </w:r>
          </w:p>
        </w:tc>
        <w:tc>
          <w:tcPr/>
          <w:p>
            <w:pPr>
              <w:pStyle w:val="Compact"/>
              <w:jc w:val="left"/>
            </w:pPr>
            <w:r>
              <w:t xml:space="preserve">1,056</w:t>
            </w:r>
          </w:p>
        </w:tc>
      </w:tr>
      <w:tr>
        <w:tc>
          <w:tcPr>
            <w:gridSpan w:val="3"/>
          </w:tcPr>
          <w:p>
            <w:pPr>
              <w:pStyle w:val="Compact"/>
              <w:jc w:val="left"/>
            </w:pPr>
            <w:r>
              <w:t xml:space="preserve">TOTAL ESTIMATED COST (12-Month Engagement)</w:t>
            </w:r>
          </w:p>
        </w:tc>
        <w:tc>
          <w:tcPr/>
          <w:p>
            <w:pPr>
              <w:pStyle w:val="Compact"/>
              <w:jc w:val="left"/>
            </w:pPr>
            <w:r>
              <w:t xml:space="preserve">3,486,000</w:t>
            </w:r>
          </w:p>
        </w:tc>
        <w:tc>
          <w:tcPr/>
          <w:p>
            <w:pPr>
              <w:pStyle w:val="Compact"/>
              <w:jc w:val="left"/>
            </w:pPr>
            <w:r>
              <w:t xml:space="preserve">38,346</w:t>
            </w:r>
          </w:p>
        </w:tc>
      </w:tr>
    </w:tbl>
    <w:bookmarkEnd w:id="22"/>
    <w:bookmarkStart w:id="23" w:name="X84219548950111aba770d88d6d40171a64ff8ef"/>
    <w:p>
      <w:pPr>
        <w:pStyle w:val="Heading2"/>
      </w:pPr>
      <w:r>
        <w:t xml:space="preserve">3. Terms and Conditions Governing This Quotation Estimate</w:t>
      </w:r>
    </w:p>
    <w:p>
      <w:pPr>
        <w:numPr>
          <w:ilvl w:val="0"/>
          <w:numId w:val="1001"/>
        </w:numPr>
        <w:pStyle w:val="Compact"/>
      </w:pPr>
      <w:r>
        <w:rPr>
          <w:bCs/>
          <w:b/>
        </w:rPr>
        <w:t xml:space="preserve">Acceptance:</w:t>
      </w:r>
      <w:r>
        <w:t xml:space="preserve"> </w:t>
      </w:r>
      <w:r>
        <w:t xml:space="preserve">This Quotation Estimate becomes a binding agreement only upon written countersignature by both parties. The Banker engagement in Russia Moscow shall commence no earlier than five (5) business days following full execution.</w:t>
      </w:r>
    </w:p>
    <w:p>
      <w:pPr>
        <w:numPr>
          <w:ilvl w:val="0"/>
          <w:numId w:val="1001"/>
        </w:numPr>
        <w:pStyle w:val="Compact"/>
      </w:pPr>
      <w:r>
        <w:rPr>
          <w:bCs/>
          <w:b/>
        </w:rPr>
        <w:t xml:space="preserve">Payment Schedule:</w:t>
      </w:r>
      <w:r>
        <w:t xml:space="preserve"> </w:t>
      </w:r>
      <w:r>
        <w:t xml:space="preserve">The monthly Banker retainer (Item 01) shall be invoiced on the first business day of each month. Transaction-based fees (Items 02, 04) are payable within ten (10) business days of service completion. All payments are to be made to the designated account of Meridian Capital Advisory Group, Russia Moscow.</w:t>
      </w:r>
    </w:p>
    <w:p>
      <w:pPr>
        <w:numPr>
          <w:ilvl w:val="0"/>
          <w:numId w:val="1001"/>
        </w:numPr>
        <w:pStyle w:val="Compact"/>
      </w:pPr>
      <w:r>
        <w:rPr>
          <w:bCs/>
          <w:b/>
        </w:rPr>
        <w:t xml:space="preserve">Regulatory Compliance:</w:t>
      </w:r>
      <w:r>
        <w:t xml:space="preserve"> </w:t>
      </w:r>
      <w:r>
        <w:t xml:space="preserve">The Banker shall ensure all activities conducted in Russia Moscow comply with Federal Law No. 395-I "On Banks and Banking Activity" and all applicable CBRF regulations in force during the engagement period.</w:t>
      </w:r>
    </w:p>
    <w:p>
      <w:pPr>
        <w:numPr>
          <w:ilvl w:val="0"/>
          <w:numId w:val="1001"/>
        </w:numPr>
        <w:pStyle w:val="Compact"/>
      </w:pPr>
      <w:r>
        <w:rPr>
          <w:bCs/>
          <w:b/>
        </w:rPr>
        <w:t xml:space="preserve">Confidentiality:</w:t>
      </w:r>
      <w:r>
        <w:t xml:space="preserve"> </w:t>
      </w:r>
      <w:r>
        <w:t xml:space="preserve">All financial data, transaction records, and strategic information shared with the Banker in the course of this engagement in Russia Moscow shall be treated as strictly confidential and subject to a separate Non-Disclosure Agreement (NDA) executed concurrently with this Quotation Estimate.</w:t>
      </w:r>
    </w:p>
    <w:p>
      <w:pPr>
        <w:numPr>
          <w:ilvl w:val="0"/>
          <w:numId w:val="1001"/>
        </w:numPr>
        <w:pStyle w:val="Compact"/>
      </w:pPr>
      <w:r>
        <w:rPr>
          <w:bCs/>
          <w:b/>
        </w:rPr>
        <w:t xml:space="preserve">Termination:</w:t>
      </w:r>
      <w:r>
        <w:t xml:space="preserve"> </w:t>
      </w:r>
      <w:r>
        <w:t xml:space="preserve">Either party may terminate the Banker engagement with thirty (30) days written notice. In the event of early termination, all fees accrued up to the termination date in Russia Moscow remain payable.</w:t>
      </w:r>
    </w:p>
    <w:p>
      <w:pPr>
        <w:numPr>
          <w:ilvl w:val="0"/>
          <w:numId w:val="1001"/>
        </w:numPr>
        <w:pStyle w:val="Compact"/>
      </w:pPr>
      <w:r>
        <w:rPr>
          <w:bCs/>
          <w:b/>
        </w:rPr>
        <w:t xml:space="preserve">Force Majeure:</w:t>
      </w:r>
      <w:r>
        <w:t xml:space="preserve"> </w:t>
      </w:r>
      <w:r>
        <w:t xml:space="preserve">Neither party shall be liable for failure to perform obligations under this Quotation Estimate due to events beyond reasonable control, including but not limited to sanctions changes, regulatory freezes, or civil unrest affecting Russia Moscow.</w:t>
      </w:r>
    </w:p>
    <w:p>
      <w:pPr>
        <w:numPr>
          <w:ilvl w:val="0"/>
          <w:numId w:val="1001"/>
        </w:numPr>
        <w:pStyle w:val="Compact"/>
      </w:pPr>
      <w:r>
        <w:rPr>
          <w:bCs/>
          <w:b/>
        </w:rPr>
        <w:t xml:space="preserve">Governing Law:</w:t>
      </w:r>
      <w:r>
        <w:t xml:space="preserve"> </w:t>
      </w:r>
      <w:r>
        <w:t xml:space="preserve">This Quotation Estimate and the resulting Banker engagement shall be governed by and construed in accordance with the civil law of the Russian Federation, with jurisdiction vested in the Arbitration Court of Moscow, Russia.</w:t>
      </w:r>
    </w:p>
    <w:bookmarkEnd w:id="23"/>
    <w:bookmarkStart w:id="24" w:name="banker-qualifications-and-assignment"/>
    <w:p>
      <w:pPr>
        <w:pStyle w:val="Heading2"/>
      </w:pPr>
      <w:r>
        <w:t xml:space="preserve">4. Banker Qualifications and Assignment</w:t>
      </w:r>
    </w:p>
    <w:p>
      <w:pPr>
        <w:pStyle w:val="FirstParagraph"/>
      </w:pPr>
      <w:r>
        <w:t xml:space="preserve">The Banker assigned to this engagement shall hold a minimum of fifteen (15) years of institutional banking experience, with at least five (5) years of direct operational experience in Russia Moscow financial markets. The Banker must possess a valid CBRF-registered professional certification, fluency in Russian and English, and demonstrated expertise in cross-border treasury management, syndicated lending, and capital market structuring. The specific identity of the Banker shall be confirmed in writing within five (5) business days of this Quotation Estimate's acceptance, and the client reserves the right to request a substitution if the assigned Banker does not meet the stated qualifications.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Quotation Estimate accurately reflects the agreed-upon scope, cost, and terms for the Banker services to be rendered in Russia Moscow. This document constitutes the sole financial estimate for the described engagement and supersedes all prior verbal or written discussions regarding the Banker's compensation and service parameters.</w:t>
      </w:r>
    </w:p>
    <w:p>
      <w:pPr>
        <w:pStyle w:val="BodyText"/>
      </w:pPr>
      <w:r>
        <w:rPr>
          <w:bCs/>
          <w:b/>
        </w:rPr>
        <w:t xml:space="preserve">For Meridian Capital Advisory Group</w:t>
      </w:r>
    </w:p>
    <w:p>
      <w:pPr>
        <w:pStyle w:val="BodyText"/>
      </w:pPr>
      <w:r>
        <w:t xml:space="preserve">Name: _______________________</w:t>
      </w:r>
      <w:r>
        <w:br/>
      </w:r>
      <w:r>
        <w:t xml:space="preserve">Title: Managing Director</w:t>
      </w:r>
      <w:r>
        <w:br/>
      </w:r>
      <w:r>
        <w:t xml:space="preserve">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Quotation Estimate QE-RM-2025-0487 | Meridian Capital Advisory Group | Russia Moscow | Page 1 of 1</w:t>
      </w:r>
    </w:p>
    <w:p>
      <w:pPr>
        <w:pStyle w:val="BodyText"/>
      </w:pPr>
      <w:r>
        <w:t xml:space="preserve">This Quotation Estimate is valid for 30 days from the issue date. All Banker services are subject to the terms stated herein. © 2025 Meridian Capital Advisory Group.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Russia Moscow</dc:title>
  <dc:creator/>
  <dc:language>en</dc:language>
  <cp:keywords/>
  <dcterms:created xsi:type="dcterms:W3CDTF">2026-10-10T09:18:52Z</dcterms:created>
  <dcterms:modified xsi:type="dcterms:W3CDTF">2026-10-10T09:18:52Z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