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Banker</w:t>
      </w:r>
      <w:r>
        <w:t xml:space="preserve"> </w:t>
      </w:r>
      <w:r>
        <w:t xml:space="preserve">Services</w:t>
      </w:r>
      <w:r>
        <w:t xml:space="preserve"> </w:t>
      </w:r>
      <w:r>
        <w:t xml:space="preserve">-</w:t>
      </w:r>
      <w:r>
        <w:t xml:space="preserve"> </w:t>
      </w:r>
      <w:r>
        <w:t xml:space="preserve">Saudi</w:t>
      </w:r>
      <w:r>
        <w:t xml:space="preserve"> </w:t>
      </w:r>
      <w:r>
        <w:t xml:space="preserve">Arabia</w:t>
      </w:r>
      <w:r>
        <w:t xml:space="preserve"> </w:t>
      </w:r>
      <w:r>
        <w:t xml:space="preserve">Riyadh</w:t>
      </w:r>
    </w:p>
    <w:bookmarkStart w:id="20" w:name="quotation-estimate"/>
    <w:p>
      <w:pPr>
        <w:pStyle w:val="Heading1"/>
      </w:pPr>
      <w:r>
        <w:t xml:space="preserve">Quotation Estimate</w:t>
      </w:r>
    </w:p>
    <w:p>
      <w:pPr>
        <w:pStyle w:val="FirstParagraph"/>
      </w:pPr>
      <w:r>
        <w:t xml:space="preserve">Professional Banker Services &amp; Financial Advisory Engagement</w:t>
      </w:r>
    </w:p>
    <w:p>
      <w:pPr>
        <w:pStyle w:val="BodyText"/>
      </w:pPr>
      <w:r>
        <w:t xml:space="preserve">Prepared for Clients in Saudi Arabia, Riyadh</w:t>
      </w:r>
    </w:p>
    <w:bookmarkEnd w:id="20"/>
    <w:p>
      <w:pPr>
        <w:pStyle w:val="BodyText"/>
      </w:pPr>
      <w:r>
        <w:rPr>
          <w:bCs/>
          <w:b/>
        </w:rPr>
        <w:t xml:space="preserve">Quotation Reference No.:</w:t>
      </w:r>
      <w:r>
        <w:t xml:space="preserve"> </w:t>
      </w:r>
      <w:r>
        <w:t xml:space="preserve">QTE-RYD-2025-0847</w:t>
      </w:r>
      <w:r>
        <w:br/>
      </w:r>
      <w:r>
        <w:rPr>
          <w:bCs/>
          <w:b/>
        </w:rPr>
        <w:t xml:space="preserve">Date of Issue:</w:t>
      </w:r>
      <w:r>
        <w:t xml:space="preserve"> </w:t>
      </w:r>
      <w:r>
        <w:t xml:space="preserve">15 June 2025</w:t>
      </w:r>
      <w:r>
        <w:br/>
      </w:r>
      <w:r>
        <w:rPr>
          <w:bCs/>
          <w:b/>
        </w:rPr>
        <w:t xml:space="preserve">Validity Period:</w:t>
      </w:r>
      <w:r>
        <w:t xml:space="preserve"> </w:t>
      </w:r>
      <w:r>
        <w:t xml:space="preserve">30 Calendar Days</w:t>
      </w:r>
    </w:p>
    <w:p>
      <w:pPr>
        <w:pStyle w:val="BodyText"/>
      </w:pPr>
      <w:r>
        <w:rPr>
          <w:bCs/>
          <w:b/>
        </w:rPr>
        <w:t xml:space="preserve">Prepared By:</w:t>
      </w:r>
      <w:r>
        <w:t xml:space="preserve"> </w:t>
      </w:r>
      <w:r>
        <w:t xml:space="preserve">Al-Riyadh Financial Consulting Group</w:t>
      </w:r>
      <w:r>
        <w:br/>
      </w:r>
      <w:r>
        <w:rPr>
          <w:bCs/>
          <w:b/>
        </w:rPr>
        <w:t xml:space="preserve">Location:</w:t>
      </w:r>
      <w:r>
        <w:t xml:space="preserve"> </w:t>
      </w:r>
      <w:r>
        <w:t xml:space="preserve">King Fahd Road, Riyadh, Saudi Arabia</w:t>
      </w:r>
      <w:r>
        <w:br/>
      </w:r>
      <w:r>
        <w:rPr>
          <w:bCs/>
          <w:b/>
        </w:rPr>
        <w:t xml:space="preserve">Contact:</w:t>
      </w:r>
      <w:r>
        <w:t xml:space="preserve"> </w:t>
      </w:r>
      <w:r>
        <w:t xml:space="preserve">quotations@alriyadhfc.sa</w:t>
      </w:r>
    </w:p>
    <w:bookmarkStart w:id="21" w:name="X600b7bc29164d4a813ee09811570fec958e5fde"/>
    <w:p>
      <w:pPr>
        <w:pStyle w:val="Heading2"/>
      </w:pPr>
      <w:r>
        <w:t xml:space="preserve">1. Introduction and Scope of the Quotation Estimate</w:t>
      </w:r>
    </w:p>
    <w:p>
      <w:pPr>
        <w:pStyle w:val="FirstParagraph"/>
      </w:pPr>
      <w:r>
        <w:t xml:space="preserve">This Quotation Estimate is formally issued by Al-Riyadh Financial Consulting Group to provide a comprehensive and transparent breakdown of costs associated with the engagement of a senior Banker and financial advisory professional for corporate and institutional clients operating within Saudi Arabia, specifically in the capital city of Riyadh. This document serves as a binding estimate for the services described herein and is structured in full compliance with the regulatory frameworks established by the Saudi Central Bank (SAMA) and the Capital Market Authority (CMA) of Saudi Arabia.</w:t>
      </w:r>
    </w:p>
    <w:p>
      <w:pPr>
        <w:pStyle w:val="BodyText"/>
      </w:pPr>
      <w:r>
        <w:t xml:space="preserve">The Banker engagement outlined in this Quotation Estimate encompasses a full spectrum of financial services tailored to the unique economic landscape of Riyadh, including corporate treasury management, trade finance facilitation, investment portfolio structuring, regulatory compliance advisory, and strategic financial planning aligned with the Vision 2030 economic diversification objectives of Saudi Arabia.</w:t>
      </w:r>
    </w:p>
    <w:bookmarkEnd w:id="21"/>
    <w:bookmarkStart w:id="22" w:name="Xee5d00c99fbaf3124ff509c498f6909e4ce5d3e"/>
    <w:p>
      <w:pPr>
        <w:pStyle w:val="Heading2"/>
      </w:pPr>
      <w:r>
        <w:t xml:space="preserve">2. Detailed Service Breakdown and Cost Estimate</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Item No.</w:t>
            </w:r>
          </w:p>
        </w:tc>
        <w:tc>
          <w:tcPr/>
          <w:p>
            <w:pPr>
              <w:pStyle w:val="Compact"/>
              <w:jc w:val="left"/>
            </w:pPr>
            <w:r>
              <w:t xml:space="preserve">Service Description</w:t>
            </w:r>
          </w:p>
        </w:tc>
        <w:tc>
          <w:tcPr/>
          <w:p>
            <w:pPr>
              <w:pStyle w:val="Compact"/>
              <w:jc w:val="left"/>
            </w:pPr>
            <w:r>
              <w:t xml:space="preserve">Duration / Frequency</w:t>
            </w:r>
          </w:p>
        </w:tc>
        <w:tc>
          <w:tcPr/>
          <w:p>
            <w:pPr>
              <w:pStyle w:val="Compact"/>
              <w:jc w:val="left"/>
            </w:pPr>
            <w:r>
              <w:t xml:space="preserve">Estimated Cost (SAR)</w:t>
            </w:r>
          </w:p>
        </w:tc>
      </w:tr>
      <w:tr>
        <w:tc>
          <w:tcPr/>
          <w:p>
            <w:pPr>
              <w:pStyle w:val="Compact"/>
              <w:jc w:val="left"/>
            </w:pPr>
            <w:r>
              <w:t xml:space="preserve">01</w:t>
            </w:r>
          </w:p>
        </w:tc>
        <w:tc>
          <w:tcPr/>
          <w:p>
            <w:pPr>
              <w:pStyle w:val="Compact"/>
              <w:jc w:val="left"/>
            </w:pPr>
            <w:r>
              <w:t xml:space="preserve">Senior Banker Retainer – Corporate Treasury &amp; Cash Management Advisory in Riyadh</w:t>
            </w:r>
          </w:p>
        </w:tc>
        <w:tc>
          <w:tcPr/>
          <w:p>
            <w:pPr>
              <w:pStyle w:val="Compact"/>
              <w:jc w:val="left"/>
            </w:pPr>
            <w:r>
              <w:t xml:space="preserve">12 Months (Annual)</w:t>
            </w:r>
          </w:p>
        </w:tc>
        <w:tc>
          <w:tcPr/>
          <w:p>
            <w:pPr>
              <w:pStyle w:val="Compact"/>
              <w:jc w:val="left"/>
            </w:pPr>
            <w:r>
              <w:t xml:space="preserve">185,000.00</w:t>
            </w:r>
          </w:p>
        </w:tc>
      </w:tr>
      <w:tr>
        <w:tc>
          <w:tcPr/>
          <w:p>
            <w:pPr>
              <w:pStyle w:val="Compact"/>
              <w:jc w:val="left"/>
            </w:pPr>
            <w:r>
              <w:t xml:space="preserve">02</w:t>
            </w:r>
          </w:p>
        </w:tc>
        <w:tc>
          <w:tcPr/>
          <w:p>
            <w:pPr>
              <w:pStyle w:val="Compact"/>
              <w:jc w:val="left"/>
            </w:pPr>
            <w:r>
              <w:t xml:space="preserve">Trade Finance Structuring &amp; Letter of Credit Facilitation (per transaction)</w:t>
            </w:r>
          </w:p>
        </w:tc>
        <w:tc>
          <w:tcPr/>
          <w:p>
            <w:pPr>
              <w:pStyle w:val="Compact"/>
              <w:jc w:val="left"/>
            </w:pPr>
            <w:r>
              <w:t xml:space="preserve">As Required (up to 25 transactions)</w:t>
            </w:r>
          </w:p>
        </w:tc>
        <w:tc>
          <w:tcPr/>
          <w:p>
            <w:pPr>
              <w:pStyle w:val="Compact"/>
              <w:jc w:val="left"/>
            </w:pPr>
            <w:r>
              <w:t xml:space="preserve">125,000.00</w:t>
            </w:r>
          </w:p>
        </w:tc>
      </w:tr>
      <w:tr>
        <w:tc>
          <w:tcPr/>
          <w:p>
            <w:pPr>
              <w:pStyle w:val="Compact"/>
              <w:jc w:val="left"/>
            </w:pPr>
            <w:r>
              <w:t xml:space="preserve">03</w:t>
            </w:r>
          </w:p>
        </w:tc>
        <w:tc>
          <w:tcPr/>
          <w:p>
            <w:pPr>
              <w:pStyle w:val="Compact"/>
              <w:jc w:val="left"/>
            </w:pPr>
            <w:r>
              <w:t xml:space="preserve">Investment Portfolio Design &amp; Asset Allocation Strategy for Institutional Clients</w:t>
            </w:r>
          </w:p>
        </w:tc>
        <w:tc>
          <w:tcPr/>
          <w:p>
            <w:pPr>
              <w:pStyle w:val="Compact"/>
              <w:jc w:val="left"/>
            </w:pPr>
            <w:r>
              <w:t xml:space="preserve">One-Time Engagement</w:t>
            </w:r>
          </w:p>
        </w:tc>
        <w:tc>
          <w:tcPr/>
          <w:p>
            <w:pPr>
              <w:pStyle w:val="Compact"/>
              <w:jc w:val="left"/>
            </w:pPr>
            <w:r>
              <w:t xml:space="preserve">95,000.00</w:t>
            </w:r>
          </w:p>
        </w:tc>
      </w:tr>
      <w:tr>
        <w:tc>
          <w:tcPr/>
          <w:p>
            <w:pPr>
              <w:pStyle w:val="Compact"/>
              <w:jc w:val="left"/>
            </w:pPr>
            <w:r>
              <w:t xml:space="preserve">04</w:t>
            </w:r>
          </w:p>
        </w:tc>
        <w:tc>
          <w:tcPr/>
          <w:p>
            <w:pPr>
              <w:pStyle w:val="Compact"/>
              <w:jc w:val="left"/>
            </w:pPr>
            <w:r>
              <w:t xml:space="preserve">Regulatory Compliance &amp; SAMA Reporting Advisory (Saudi Arabia jurisdiction)</w:t>
            </w:r>
          </w:p>
        </w:tc>
        <w:tc>
          <w:tcPr/>
          <w:p>
            <w:pPr>
              <w:pStyle w:val="Compact"/>
              <w:jc w:val="left"/>
            </w:pPr>
            <w:r>
              <w:t xml:space="preserve">Quarterly (4 cycles)</w:t>
            </w:r>
          </w:p>
        </w:tc>
        <w:tc>
          <w:tcPr/>
          <w:p>
            <w:pPr>
              <w:pStyle w:val="Compact"/>
              <w:jc w:val="left"/>
            </w:pPr>
            <w:r>
              <w:t xml:space="preserve">72,000.00</w:t>
            </w:r>
          </w:p>
        </w:tc>
      </w:tr>
      <w:tr>
        <w:tc>
          <w:tcPr/>
          <w:p>
            <w:pPr>
              <w:pStyle w:val="Compact"/>
              <w:jc w:val="left"/>
            </w:pPr>
            <w:r>
              <w:t xml:space="preserve">05</w:t>
            </w:r>
          </w:p>
        </w:tc>
        <w:tc>
          <w:tcPr/>
          <w:p>
            <w:pPr>
              <w:pStyle w:val="Compact"/>
              <w:jc w:val="left"/>
            </w:pPr>
            <w:r>
              <w:t xml:space="preserve">On-Site Banker Consultation at Client Premises, Riyadh (per visit)</w:t>
            </w:r>
          </w:p>
        </w:tc>
        <w:tc>
          <w:tcPr/>
          <w:p>
            <w:pPr>
              <w:pStyle w:val="Compact"/>
              <w:jc w:val="left"/>
            </w:pPr>
            <w:r>
              <w:t xml:space="preserve">Up to 12 Visits</w:t>
            </w:r>
          </w:p>
        </w:tc>
        <w:tc>
          <w:tcPr/>
          <w:p>
            <w:pPr>
              <w:pStyle w:val="Compact"/>
              <w:jc w:val="left"/>
            </w:pPr>
            <w:r>
              <w:t xml:space="preserve">48,000.00</w:t>
            </w:r>
          </w:p>
        </w:tc>
      </w:tr>
      <w:tr>
        <w:tc>
          <w:tcPr/>
          <w:p>
            <w:pPr>
              <w:pStyle w:val="Compact"/>
              <w:jc w:val="left"/>
            </w:pPr>
            <w:r>
              <w:t xml:space="preserve">06</w:t>
            </w:r>
          </w:p>
        </w:tc>
        <w:tc>
          <w:tcPr/>
          <w:p>
            <w:pPr>
              <w:pStyle w:val="Compact"/>
              <w:jc w:val="left"/>
            </w:pPr>
            <w:r>
              <w:t xml:space="preserve">Financial Modelling &amp; Stress Testing for Capital Adequacy (Saudi banking sector standards)</w:t>
            </w:r>
          </w:p>
        </w:tc>
        <w:tc>
          <w:tcPr/>
          <w:p>
            <w:pPr>
              <w:pStyle w:val="Compact"/>
              <w:jc w:val="left"/>
            </w:pPr>
            <w:r>
              <w:t xml:space="preserve">One-Time Engagement</w:t>
            </w:r>
          </w:p>
        </w:tc>
        <w:tc>
          <w:tcPr/>
          <w:p>
            <w:pPr>
              <w:pStyle w:val="Compact"/>
              <w:jc w:val="left"/>
            </w:pPr>
            <w:r>
              <w:t xml:space="preserve">65,000.00</w:t>
            </w:r>
          </w:p>
        </w:tc>
      </w:tr>
      <w:tr>
        <w:tc>
          <w:tcPr/>
          <w:p>
            <w:pPr>
              <w:pStyle w:val="Compact"/>
              <w:jc w:val="left"/>
            </w:pPr>
            <w:r>
              <w:t xml:space="preserve">07</w:t>
            </w:r>
          </w:p>
        </w:tc>
        <w:tc>
          <w:tcPr/>
          <w:p>
            <w:pPr>
              <w:pStyle w:val="Compact"/>
              <w:jc w:val="left"/>
            </w:pPr>
            <w:r>
              <w:t xml:space="preserve">Strategic Banking Partnership Development &amp; Relationship Management (Riyadh banking network)</w:t>
            </w:r>
          </w:p>
        </w:tc>
        <w:tc>
          <w:tcPr/>
          <w:p>
            <w:pPr>
              <w:pStyle w:val="Compact"/>
              <w:jc w:val="left"/>
            </w:pPr>
            <w:r>
              <w:t xml:space="preserve">6 Months</w:t>
            </w:r>
          </w:p>
        </w:tc>
        <w:tc>
          <w:tcPr/>
          <w:p>
            <w:pPr>
              <w:pStyle w:val="Compact"/>
              <w:jc w:val="left"/>
            </w:pPr>
            <w:r>
              <w:t xml:space="preserve">55,000.00</w:t>
            </w:r>
          </w:p>
        </w:tc>
      </w:tr>
      <w:tr>
        <w:tc>
          <w:tcPr/>
          <w:p>
            <w:pPr>
              <w:pStyle w:val="Compact"/>
              <w:jc w:val="left"/>
            </w:pPr>
            <w:r>
              <w:t xml:space="preserve">08</w:t>
            </w:r>
          </w:p>
        </w:tc>
        <w:tc>
          <w:tcPr/>
          <w:p>
            <w:pPr>
              <w:pStyle w:val="Compact"/>
              <w:jc w:val="left"/>
            </w:pPr>
            <w:r>
              <w:t xml:space="preserve">Sharia-Compliant Financial Product Structuring &amp; Advisory</w:t>
            </w:r>
          </w:p>
        </w:tc>
        <w:tc>
          <w:tcPr/>
          <w:p>
            <w:pPr>
              <w:pStyle w:val="Compact"/>
              <w:jc w:val="left"/>
            </w:pPr>
            <w:r>
              <w:t xml:space="preserve">One-Time Engagement</w:t>
            </w:r>
          </w:p>
        </w:tc>
        <w:tc>
          <w:tcPr/>
          <w:p>
            <w:pPr>
              <w:pStyle w:val="Compact"/>
              <w:jc w:val="left"/>
            </w:pPr>
            <w:r>
              <w:t xml:space="preserve">80,000.00</w:t>
            </w:r>
          </w:p>
        </w:tc>
      </w:tr>
      <w:tr>
        <w:tc>
          <w:tcPr>
            <w:gridSpan w:val="3"/>
          </w:tcPr>
          <w:p>
            <w:pPr>
              <w:pStyle w:val="Compact"/>
              <w:jc w:val="left"/>
            </w:pPr>
            <w:r>
              <w:t xml:space="preserve">TOTAL ESTIMATED COST (SAR)</w:t>
            </w:r>
          </w:p>
        </w:tc>
        <w:tc>
          <w:tcPr/>
          <w:p>
            <w:pPr>
              <w:pStyle w:val="Compact"/>
              <w:jc w:val="left"/>
            </w:pPr>
            <w:r>
              <w:t xml:space="preserve">725,000.00</w:t>
            </w:r>
          </w:p>
        </w:tc>
      </w:tr>
      <w:tr>
        <w:tc>
          <w:tcPr>
            <w:gridSpan w:val="3"/>
          </w:tcPr>
          <w:p>
            <w:pPr>
              <w:pStyle w:val="Compact"/>
              <w:jc w:val="left"/>
            </w:pPr>
            <w:r>
              <w:t xml:space="preserve">TOTAL ESTIMATED COST (USD – Approximate at 3.75 SAR/USD)</w:t>
            </w:r>
          </w:p>
        </w:tc>
        <w:tc>
          <w:tcPr/>
          <w:p>
            <w:pPr>
              <w:pStyle w:val="Compact"/>
              <w:jc w:val="left"/>
            </w:pPr>
            <w:r>
              <w:t xml:space="preserve">193,333.33</w:t>
            </w:r>
          </w:p>
        </w:tc>
      </w:tr>
    </w:tbl>
    <w:bookmarkEnd w:id="22"/>
    <w:bookmarkStart w:id="23" w:name="X985eb999f0cfcda5f1af1a675bf0b7c2e0a6c64"/>
    <w:p>
      <w:pPr>
        <w:pStyle w:val="Heading2"/>
      </w:pPr>
      <w:r>
        <w:t xml:space="preserve">3. Terms and Conditions of This Quotation Estimate</w:t>
      </w:r>
    </w:p>
    <w:p>
      <w:pPr>
        <w:numPr>
          <w:ilvl w:val="0"/>
          <w:numId w:val="1001"/>
        </w:numPr>
        <w:pStyle w:val="Compact"/>
      </w:pPr>
      <w:r>
        <w:t xml:space="preserve">All costs stated in this Quotation Estimate are denominated in Saudi Riyal (SAR) and are exclusive of Value Added Tax (VAT) at the prevailing rate of 15% as mandated by the Zakat, Tax and Customs Authority (ZATCA) of Saudi Arabia.</w:t>
      </w:r>
    </w:p>
    <w:p>
      <w:pPr>
        <w:numPr>
          <w:ilvl w:val="0"/>
          <w:numId w:val="1001"/>
        </w:numPr>
        <w:pStyle w:val="Compact"/>
      </w:pPr>
      <w:r>
        <w:t xml:space="preserve">The Banker professional engaged under this estimate holds valid professional licensing issued by the Saudi Central Bank (SAMA) and maintains full compliance with all anti-money laundering (AML) and counter-terrorism financing (CTF) regulations applicable in Saudi Arabia.</w:t>
      </w:r>
    </w:p>
    <w:p>
      <w:pPr>
        <w:numPr>
          <w:ilvl w:val="0"/>
          <w:numId w:val="1001"/>
        </w:numPr>
        <w:pStyle w:val="Compact"/>
      </w:pPr>
      <w:r>
        <w:t xml:space="preserve">This Quotation Estimate is valid for a period of thirty (30) calendar days from the date of issue. Upon expiration, all rates and service terms are subject to revision based on prevailing market conditions in the Riyadh financial sector.</w:t>
      </w:r>
    </w:p>
    <w:p>
      <w:pPr>
        <w:numPr>
          <w:ilvl w:val="0"/>
          <w:numId w:val="1001"/>
        </w:numPr>
        <w:pStyle w:val="Compact"/>
      </w:pPr>
      <w:r>
        <w:t xml:space="preserve">Payment terms: 40% advance upon acceptance of this Quotation Estimate, 40% upon completion of the mid-term deliverables, and 20% upon final project closure and handover of all documentation.</w:t>
      </w:r>
    </w:p>
    <w:p>
      <w:pPr>
        <w:numPr>
          <w:ilvl w:val="0"/>
          <w:numId w:val="1001"/>
        </w:numPr>
        <w:pStyle w:val="Compact"/>
      </w:pPr>
      <w:r>
        <w:t xml:space="preserve">All on-site consultations and meetings will be conducted within the boundaries of Riyadh, Saudi Arabia. Travel to other cities within Saudi Arabia will be billed at an additional rate of SAR 2,500 per day, inclusive of local transportation.</w:t>
      </w:r>
    </w:p>
    <w:p>
      <w:pPr>
        <w:numPr>
          <w:ilvl w:val="0"/>
          <w:numId w:val="1001"/>
        </w:numPr>
        <w:pStyle w:val="Compact"/>
      </w:pPr>
      <w:r>
        <w:t xml:space="preserve">The Banker shall maintain strict confidentiality of all client financial data in accordance with the Saudi Personal Data Protection Law (PDPL) and the data security standards of the National Cybersecurity Authority (NCA) of Saudi Arabia.</w:t>
      </w:r>
    </w:p>
    <w:p>
      <w:pPr>
        <w:numPr>
          <w:ilvl w:val="0"/>
          <w:numId w:val="1001"/>
        </w:numPr>
        <w:pStyle w:val="Compact"/>
      </w:pPr>
      <w:r>
        <w:t xml:space="preserve">This Quotation Estimate does not constitute a binding contract until formally accepted in writing by both parties and countersigned by authorized representatives.</w:t>
      </w:r>
    </w:p>
    <w:bookmarkEnd w:id="23"/>
    <w:bookmarkStart w:id="24" w:name="X4e3b587006ab02b3bfddd97899b1435fde25aa5"/>
    <w:p>
      <w:pPr>
        <w:pStyle w:val="Heading2"/>
      </w:pPr>
      <w:r>
        <w:t xml:space="preserve">4. Professional Qualifications of the Banker</w:t>
      </w:r>
    </w:p>
    <w:p>
      <w:pPr>
        <w:pStyle w:val="FirstParagraph"/>
      </w:pPr>
      <w:r>
        <w:t xml:space="preserve">The Banker professional assigned to this engagement possesses a minimum of fifteen (15) years of experience in corporate and investment banking within the Middle East region, with a dedicated focus on the Saudi Arabian market. The Banker holds a Chartered Banker (CB) designation, a CFA (Chartered Financial Analyst) charter, and is a certified Sharia Finance Specialist (CSFS) recognized by the Islamic Financial Services Board (IFSB). The Banker has previously served in senior roles at leading financial institutions operating in Riyadh, including but not limited to Saudi National Bank, Al Rajhi Bank, and SNB Capital, and maintains an extensive network of relationships across the Riyadh financial district.</w:t>
      </w:r>
    </w:p>
    <w:bookmarkEnd w:id="24"/>
    <w:bookmarkStart w:id="25" w:name="acceptance-and-authorization"/>
    <w:p>
      <w:pPr>
        <w:pStyle w:val="Heading2"/>
      </w:pPr>
      <w:r>
        <w:t xml:space="preserve">5. Acceptance and Authorization</w:t>
      </w:r>
    </w:p>
    <w:p>
      <w:pPr>
        <w:pStyle w:val="FirstParagraph"/>
      </w:pPr>
      <w:r>
        <w:t xml:space="preserve">By signing below, the client acknowledges receipt of this Quotation Estimate for Banker services in Saudi Arabia, Riyadh, and agrees to the terms, conditions, and cost estimates outlined herein. This acceptance shall trigger the commencement of the engagement as per the timeline specified in the master service agreement.</w:t>
      </w:r>
    </w:p>
    <w:p>
      <w:pPr>
        <w:pStyle w:val="BodyText"/>
      </w:pPr>
      <w:r>
        <w:rPr>
          <w:bCs/>
          <w:b/>
        </w:rPr>
        <w:t xml:space="preserve">For: Al-Riyadh Financial Consulting Group</w:t>
      </w:r>
      <w:r>
        <w:br/>
      </w:r>
      <w:r>
        <w:t xml:space="preserve">Authorized Signatory</w:t>
      </w:r>
      <w:r>
        <w:br/>
      </w:r>
      <w:r>
        <w:t xml:space="preserve">Name: _________________________</w:t>
      </w:r>
      <w:r>
        <w:br/>
      </w:r>
      <w:r>
        <w:t xml:space="preserve">Title: Managing Director</w:t>
      </w:r>
      <w:r>
        <w:br/>
      </w:r>
      <w:r>
        <w:t xml:space="preserve">Date: _________________________</w:t>
      </w:r>
    </w:p>
    <w:p>
      <w:pPr>
        <w:pStyle w:val="BodyText"/>
      </w:pPr>
      <w:r>
        <w:rPr>
          <w:bCs/>
          <w:b/>
        </w:rPr>
        <w:t xml:space="preserve">For: Client / Receiving Party</w:t>
      </w:r>
      <w:r>
        <w:br/>
      </w:r>
      <w:r>
        <w:t xml:space="preserve">Authorized Signatory</w:t>
      </w:r>
      <w:r>
        <w:br/>
      </w:r>
      <w:r>
        <w:t xml:space="preserve">Name: _________________________</w:t>
      </w:r>
      <w:r>
        <w:br/>
      </w:r>
      <w:r>
        <w:t xml:space="preserve">Title: _________________________</w:t>
      </w:r>
      <w:r>
        <w:br/>
      </w:r>
      <w:r>
        <w:t xml:space="preserve">Date: _________________________</w:t>
      </w:r>
    </w:p>
    <w:p>
      <w:pPr>
        <w:pStyle w:val="BodyText"/>
      </w:pPr>
      <w:r>
        <w:t xml:space="preserve">Al-Riyadh Financial Consulting Group | King Fahd Road, Al Olaya District, Riyadh 12212, Saudi Arabia</w:t>
      </w:r>
    </w:p>
    <w:p>
      <w:pPr>
        <w:pStyle w:val="BodyText"/>
      </w:pPr>
      <w:r>
        <w:t xml:space="preserve">CR No. 1010XXXXXX | VAT No. 310XXXXXXXXXXXX3 | SAMA License Ref: SAMA/FC/2024/0089</w:t>
      </w:r>
    </w:p>
    <w:p>
      <w:pPr>
        <w:pStyle w:val="BodyText"/>
      </w:pPr>
      <w:r>
        <w:t xml:space="preserve">This Quotation Estimate is a confidential document intended solely for the named recipient. Unauthorized distribution is prohibited under Saudi Arabian commercial law.</w:t>
      </w:r>
    </w:p>
    <w:p>
      <w:pPr>
        <w:pStyle w:val="BodyText"/>
      </w:pPr>
      <w:r>
        <w:t xml:space="preserve">Document Ref: QTE-RYD-2025-0847 | Page 1 of 1</w:t>
      </w:r>
    </w:p>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Banker Services - Saudi Arabia Riyadh</dc:title>
  <dc:creator/>
  <dc:language>en</dc:language>
  <cp:keywords/>
  <dcterms:created xsi:type="dcterms:W3CDTF">2026-10-10T07:21:10Z</dcterms:created>
  <dcterms:modified xsi:type="dcterms:W3CDTF">2026-10-10T07:21:10Z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