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Banker Services &amp; Financial Solutions</w:t>
      </w:r>
    </w:p>
    <w:p>
      <w:pPr>
        <w:pStyle w:val="BodyText"/>
      </w:pPr>
      <w:r>
        <w:t xml:space="preserve">Prepared for Deployment in Senegal, Dakar</w:t>
      </w:r>
    </w:p>
    <w:p>
      <w:pPr>
        <w:pStyle w:val="BodyText"/>
      </w:pPr>
      <w:r>
        <w:t xml:space="preserve">Document Reference: QE-SEN-DKR-2025-0417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Quotation No.:</w:t>
      </w:r>
      <w:r>
        <w:t xml:space="preserve"> </w:t>
      </w:r>
      <w:r>
        <w:t xml:space="preserve">QE-SEN-DKR-2025-0417</w:t>
      </w:r>
    </w:p>
    <w:p>
      <w:pPr>
        <w:pStyle w:val="BodyText"/>
      </w:pPr>
      <w:r>
        <w:rPr>
          <w:bCs/>
          <w:b/>
        </w:rPr>
        <w:t xml:space="preserve">Prepared By:</w:t>
      </w:r>
      <w:r>
        <w:t xml:space="preserve"> </w:t>
      </w:r>
      <w:r>
        <w:t xml:space="preserve">M. Ousmane Diop</w:t>
      </w:r>
      <w:r>
        <w:br/>
      </w:r>
      <w:r>
        <w:rPr>
          <w:bCs/>
          <w:b/>
        </w:rPr>
        <w:t xml:space="preserve">Title:</w:t>
      </w:r>
      <w:r>
        <w:t xml:space="preserve"> </w:t>
      </w:r>
      <w:r>
        <w:t xml:space="preserve">Senior Banker, Corporate Advisory</w:t>
      </w:r>
      <w:r>
        <w:br/>
      </w:r>
      <w:r>
        <w:rPr>
          <w:bCs/>
          <w:b/>
        </w:rPr>
        <w:t xml:space="preserve">Office:</w:t>
      </w:r>
      <w:r>
        <w:t xml:space="preserve"> </w:t>
      </w:r>
      <w:r>
        <w:t xml:space="preserve">12 Boulevard de la République, Dakar, Senegal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Société Générale du Sénégal – Corporate Division</w:t>
            </w:r>
          </w:p>
        </w:tc>
      </w:tr>
      <w:tr>
        <w:tc>
          <w:tcPr/>
          <w:p>
            <w:pPr>
              <w:pStyle w:val="Compact"/>
              <w:jc w:val="left"/>
            </w:pPr>
            <w:r>
              <w:rPr>
                <w:bCs/>
                <w:b/>
              </w:rPr>
              <w:t xml:space="preserve">Address:</w:t>
            </w:r>
          </w:p>
        </w:tc>
        <w:tc>
          <w:tcPr/>
          <w:p>
            <w:pPr>
              <w:pStyle w:val="Compact"/>
              <w:jc w:val="left"/>
            </w:pPr>
            <w:r>
              <w:t xml:space="preserve">Route de l'Aéroport, Aéroport Zone, Dakar, Senegal</w:t>
            </w:r>
          </w:p>
        </w:tc>
      </w:tr>
      <w:tr>
        <w:tc>
          <w:tcPr/>
          <w:p>
            <w:pPr>
              <w:pStyle w:val="Compact"/>
              <w:jc w:val="left"/>
            </w:pPr>
            <w:r>
              <w:rPr>
                <w:bCs/>
                <w:b/>
              </w:rPr>
              <w:t xml:space="preserve">Contact Person:</w:t>
            </w:r>
          </w:p>
        </w:tc>
        <w:tc>
          <w:tcPr/>
          <w:p>
            <w:pPr>
              <w:pStyle w:val="Compact"/>
              <w:jc w:val="left"/>
            </w:pPr>
            <w:r>
              <w:t xml:space="preserve">Dr. Aïssatou Ndiaye, Chief Financial Officer</w:t>
            </w:r>
          </w:p>
        </w:tc>
      </w:tr>
      <w:tr>
        <w:tc>
          <w:tcPr/>
          <w:p>
            <w:pPr>
              <w:pStyle w:val="Compact"/>
              <w:jc w:val="left"/>
            </w:pPr>
            <w:r>
              <w:rPr>
                <w:bCs/>
                <w:b/>
              </w:rPr>
              <w:t xml:space="preserve">Telephone:</w:t>
            </w:r>
          </w:p>
        </w:tc>
        <w:tc>
          <w:tcPr/>
          <w:p>
            <w:pPr>
              <w:pStyle w:val="Compact"/>
              <w:jc w:val="left"/>
            </w:pPr>
            <w:r>
              <w:t xml:space="preserve">+221 33 864 2200</w:t>
            </w:r>
          </w:p>
        </w:tc>
      </w:tr>
      <w:tr>
        <w:tc>
          <w:tcPr/>
          <w:p>
            <w:pPr>
              <w:pStyle w:val="Compact"/>
              <w:jc w:val="left"/>
            </w:pPr>
            <w:r>
              <w:rPr>
                <w:bCs/>
                <w:b/>
              </w:rPr>
              <w:t xml:space="preserve">Email:</w:t>
            </w:r>
          </w:p>
        </w:tc>
        <w:tc>
          <w:tcPr/>
          <w:p>
            <w:pPr>
              <w:pStyle w:val="Compact"/>
              <w:jc w:val="left"/>
            </w:pPr>
            <w:r>
              <w:t xml:space="preserve">corporate.finance@sg-senegal.sn</w:t>
            </w:r>
          </w:p>
        </w:tc>
      </w:tr>
    </w:tbl>
    <w:bookmarkEnd w:id="21"/>
    <w:bookmarkStart w:id="22" w:name="scope-of-banker-services-senegal-dakar"/>
    <w:p>
      <w:pPr>
        <w:pStyle w:val="Heading2"/>
      </w:pPr>
      <w:r>
        <w:t xml:space="preserve">2. Scope of Banker Services – Senegal Dakar</w:t>
      </w:r>
    </w:p>
    <w:p>
      <w:pPr>
        <w:pStyle w:val="FirstParagraph"/>
      </w:pPr>
      <w:r>
        <w:t xml:space="preserve">This Quotation Estimate is issued in response to the formal request submitted by Société Générale du Sénégal for the engagement of a dedicated</w:t>
      </w:r>
      <w:r>
        <w:t xml:space="preserve"> </w:t>
      </w:r>
      <w:r>
        <w:t xml:space="preserve">Banker</w:t>
      </w:r>
      <w:r>
        <w:t xml:space="preserve"> </w:t>
      </w:r>
      <w:r>
        <w:t xml:space="preserve">professional to provide comprehensive corporate financial advisory, transactional banking, and treasury management services within the Dakar metropolitan area and the broader Senegalese financial corridor. The Banker engagement is structured to align with the regulatory framework of the Central Bank of West African States (BCEAO) and the financial regulations of the West African Economic and Monetary Union (WAEMU/UEMOA).</w:t>
      </w:r>
    </w:p>
    <w:p>
      <w:pPr>
        <w:pStyle w:val="BodyText"/>
      </w:pPr>
      <w:r>
        <w:t xml:space="preserve">The proposed Banker will operate from the client's primary office in Dakar and will be responsible for managing interbank relationships, executing cross-border settlements within the CFA franc zone, providing liquidity forecasting, and delivering quarterly strategic financial reviews tailored to the Senegalese market conditions.</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Senior Corporate Banker – Monthly Retainer (Dakar Office)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Treasury Management &amp; Liquidity Advisory (Banker-led)</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Cross-Border Settlement &amp; FX Risk Management (CFA Zone)</w:t>
            </w:r>
          </w:p>
        </w:tc>
        <w:tc>
          <w:tcPr/>
          <w:p>
            <w:pPr>
              <w:pStyle w:val="Compact"/>
              <w:jc w:val="left"/>
            </w:pPr>
            <w:r>
              <w:t xml:space="preserve">12 months</w:t>
            </w:r>
          </w:p>
        </w:tc>
        <w:tc>
          <w:tcPr/>
          <w:p>
            <w:pPr>
              <w:pStyle w:val="Compact"/>
              <w:jc w:val="left"/>
            </w:pPr>
            <w:r>
              <w:t xml:space="preserve">1,950,000</w:t>
            </w:r>
          </w:p>
        </w:tc>
        <w:tc>
          <w:tcPr/>
          <w:p>
            <w:pPr>
              <w:pStyle w:val="Compact"/>
              <w:jc w:val="left"/>
            </w:pPr>
            <w:r>
              <w:t xml:space="preserve">23,400,000</w:t>
            </w:r>
          </w:p>
        </w:tc>
      </w:tr>
      <w:tr>
        <w:tc>
          <w:tcPr/>
          <w:p>
            <w:pPr>
              <w:pStyle w:val="Compact"/>
              <w:jc w:val="left"/>
            </w:pPr>
            <w:r>
              <w:t xml:space="preserve">04</w:t>
            </w:r>
          </w:p>
        </w:tc>
        <w:tc>
          <w:tcPr/>
          <w:p>
            <w:pPr>
              <w:pStyle w:val="Compact"/>
              <w:jc w:val="left"/>
            </w:pPr>
            <w:r>
              <w:t xml:space="preserve">Regulatory Compliance &amp; BCEAO Reporting Support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Quarterly Strategic Financial Review (Banker Presentation)</w:t>
            </w:r>
          </w:p>
        </w:tc>
        <w:tc>
          <w:tcPr/>
          <w:p>
            <w:pPr>
              <w:pStyle w:val="Compact"/>
              <w:jc w:val="left"/>
            </w:pPr>
            <w:r>
              <w:t xml:space="preserve">4 sessions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On-Site Deployment &amp; Local Integration (Dakar, Senegal)</w:t>
            </w:r>
          </w:p>
        </w:tc>
        <w:tc>
          <w:tcPr/>
          <w:p>
            <w:pPr>
              <w:pStyle w:val="Compact"/>
              <w:jc w:val="left"/>
            </w:pPr>
            <w:r>
              <w:t xml:space="preserve">One-time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Emergency Call-Out &amp; After-Hours Banker Availability</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gridSpan w:val="4"/>
          </w:tcPr>
          <w:p>
            <w:pPr>
              <w:pStyle w:val="Compact"/>
              <w:jc w:val="right"/>
            </w:pPr>
            <w:r>
              <w:t xml:space="preserve">SUBTOTAL (XOF)</w:t>
            </w:r>
          </w:p>
        </w:tc>
        <w:tc>
          <w:tcPr/>
          <w:p>
            <w:pPr>
              <w:pStyle w:val="Compact"/>
              <w:jc w:val="left"/>
            </w:pPr>
            <w:r>
              <w:t xml:space="preserve">144,200,000</w:t>
            </w:r>
          </w:p>
        </w:tc>
      </w:tr>
      <w:tr>
        <w:tc>
          <w:tcPr>
            <w:gridSpan w:val="4"/>
          </w:tcPr>
          <w:p>
            <w:pPr>
              <w:pStyle w:val="Compact"/>
              <w:jc w:val="right"/>
            </w:pPr>
            <w:r>
              <w:t xml:space="preserve">Applicable VAT (18% – Senegal)</w:t>
            </w:r>
          </w:p>
        </w:tc>
        <w:tc>
          <w:tcPr/>
          <w:p>
            <w:pPr>
              <w:pStyle w:val="Compact"/>
              <w:jc w:val="left"/>
            </w:pPr>
            <w:r>
              <w:t xml:space="preserve">25,956,000</w:t>
            </w:r>
          </w:p>
        </w:tc>
      </w:tr>
      <w:tr>
        <w:tc>
          <w:tcPr>
            <w:gridSpan w:val="4"/>
          </w:tcPr>
          <w:p>
            <w:pPr>
              <w:pStyle w:val="Compact"/>
              <w:jc w:val="right"/>
            </w:pPr>
            <w:r>
              <w:t xml:space="preserve">TOTAL QUOTATION ESTIMATE (XOF)</w:t>
            </w:r>
          </w:p>
        </w:tc>
        <w:tc>
          <w:tcPr/>
          <w:p>
            <w:pPr>
              <w:pStyle w:val="Compact"/>
              <w:jc w:val="left"/>
            </w:pPr>
            <w:r>
              <w:t xml:space="preserve">170,156,000</w:t>
            </w:r>
          </w:p>
        </w:tc>
      </w:tr>
      <w:tr>
        <w:tc>
          <w:tcPr>
            <w:gridSpan w:val="4"/>
          </w:tcPr>
          <w:p>
            <w:pPr>
              <w:pStyle w:val="Compact"/>
              <w:jc w:val="right"/>
            </w:pPr>
            <w:r>
              <w:t xml:space="preserve">TOTAL QUOTATION ESTIMATE (EUR – approx.)</w:t>
            </w:r>
          </w:p>
        </w:tc>
        <w:tc>
          <w:tcPr/>
          <w:p>
            <w:pPr>
              <w:pStyle w:val="Compact"/>
              <w:jc w:val="left"/>
            </w:pPr>
            <w:r>
              <w:t xml:space="preserve">€259,000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Beyond this period, all pricing for the Banker services may be subject to revision based on prevailing market conditions in Senegal and the CFA franc exchange rate.</w:t>
      </w:r>
    </w:p>
    <w:p>
      <w:pPr>
        <w:numPr>
          <w:ilvl w:val="0"/>
          <w:numId w:val="1001"/>
        </w:numPr>
        <w:pStyle w:val="Compact"/>
      </w:pPr>
      <w:r>
        <w:rPr>
          <w:bCs/>
          <w:b/>
        </w:rPr>
        <w:t xml:space="preserve">Payment Terms:</w:t>
      </w:r>
      <w:r>
        <w:t xml:space="preserve"> </w:t>
      </w:r>
      <w:r>
        <w:t xml:space="preserve">Payment shall be made in monthly installments of XOF 14,179,667 (inclusive of VAT), due on the 5th business day of each month via bank transfer to the designated account in Dakar, Senegal. A 1.5% monthly late penalty shall apply to overdue balances.</w:t>
      </w:r>
    </w:p>
    <w:p>
      <w:pPr>
        <w:numPr>
          <w:ilvl w:val="0"/>
          <w:numId w:val="1001"/>
        </w:numPr>
        <w:pStyle w:val="Compact"/>
      </w:pPr>
      <w:r>
        <w:rPr>
          <w:bCs/>
          <w:b/>
        </w:rPr>
        <w:t xml:space="preserve">Banker Availability:</w:t>
      </w:r>
      <w:r>
        <w:t xml:space="preserve"> </w:t>
      </w:r>
      <w:r>
        <w:t xml:space="preserve">The engaged Banker shall be available on-site in Dakar a minimum of four (4) days per week, with remote availability for the remaining working days. Emergency call-out response time shall not exceed four (4) hours.</w:t>
      </w:r>
    </w:p>
    <w:p>
      <w:pPr>
        <w:numPr>
          <w:ilvl w:val="0"/>
          <w:numId w:val="1001"/>
        </w:numPr>
        <w:pStyle w:val="Compact"/>
      </w:pPr>
      <w:r>
        <w:rPr>
          <w:bCs/>
          <w:b/>
        </w:rPr>
        <w:t xml:space="preserve">Regulatory Compliance:</w:t>
      </w:r>
      <w:r>
        <w:t xml:space="preserve"> </w:t>
      </w:r>
      <w:r>
        <w:t xml:space="preserve">All Banker services rendered in Senegal shall comply with the regulations of the BCEAO, the Autorité de Contrôle Prudentiel et de Résolution (ACPR) guidelines, and the local banking law of Senegal (Loi n° 90-07 du 2 janvier 1990).</w:t>
      </w:r>
    </w:p>
    <w:p>
      <w:pPr>
        <w:numPr>
          <w:ilvl w:val="0"/>
          <w:numId w:val="1001"/>
        </w:numPr>
        <w:pStyle w:val="Compact"/>
      </w:pPr>
      <w:r>
        <w:rPr>
          <w:bCs/>
          <w:b/>
        </w:rPr>
        <w:t xml:space="preserve">Confidentiality:</w:t>
      </w:r>
      <w:r>
        <w:t xml:space="preserve"> </w:t>
      </w:r>
      <w:r>
        <w:t xml:space="preserve">The Banker shall maintain strict confidentiality regarding all financial data, client transactions, and proprietary information encountered during the engagement in Dakar, Senegal. A separate Non-Disclosure Agreement (NDA) shall be executed prior to commencement.</w:t>
      </w:r>
    </w:p>
    <w:p>
      <w:pPr>
        <w:numPr>
          <w:ilvl w:val="0"/>
          <w:numId w:val="1001"/>
        </w:numPr>
        <w:pStyle w:val="Compact"/>
      </w:pPr>
      <w:r>
        <w:rPr>
          <w:bCs/>
          <w:b/>
        </w:rPr>
        <w:t xml:space="preserve">Termination:</w:t>
      </w:r>
      <w:r>
        <w:t xml:space="preserve"> </w:t>
      </w:r>
      <w:r>
        <w:t xml:space="preserve">Either party may terminate this Quotation Estimate engagement with a written notice of sixty (60) days. Upon termination, all outstanding fees for services rendered up to the termination date shall be due in full.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in Senegal, or regulatory changes imposed by the BCEAO or the Senegalese government.</w:t>
      </w:r>
    </w:p>
    <w:p>
      <w:pPr>
        <w:numPr>
          <w:ilvl w:val="0"/>
          <w:numId w:val="1001"/>
        </w:numPr>
        <w:pStyle w:val="Compact"/>
      </w:pPr>
      <w:r>
        <w:rPr>
          <w:bCs/>
          <w:b/>
        </w:rPr>
        <w:t xml:space="preserve">Governing Law:</w:t>
      </w:r>
      <w:r>
        <w:t xml:space="preserve"> </w:t>
      </w:r>
      <w:r>
        <w:t xml:space="preserve">This Quotation Estimate and the resulting Banker services agreement shall be governed by and construed in accordance with the laws of the Republic of Senegal. Any disputes shall be resolved through arbitration in Dakar under the rules of the OHADA (Organisation pour l'Harmonisation en Afrique du Droit des Affaires) arbitration centre.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Banker services described herein and authorizes the commencement of the engagement in Senegal, Dakar upon execution of the definitive service agreement. The Banker shall report directly to the Chief Financial Officer and shall coordinate with the Treasury and Compliance departments as required.</w:t>
      </w:r>
    </w:p>
    <w:p>
      <w:pPr>
        <w:pStyle w:val="BodyText"/>
      </w:pPr>
      <w:r>
        <w:rPr>
          <w:bCs/>
          <w:b/>
        </w:rPr>
        <w:t xml:space="preserve">For the Client</w:t>
      </w:r>
      <w:r>
        <w:br/>
      </w:r>
      <w:r>
        <w:t xml:space="preserve">Dr. Aïssatou Ndiaye</w:t>
      </w:r>
      <w:r>
        <w:br/>
      </w:r>
      <w:r>
        <w:t xml:space="preserve">Chief Financial Officer</w:t>
      </w:r>
      <w:r>
        <w:br/>
      </w:r>
      <w:r>
        <w:t xml:space="preserve">Société Générale du Sénégal</w:t>
      </w:r>
      <w:r>
        <w:br/>
      </w:r>
      <w:r>
        <w:t xml:space="preserve">Date: _______________</w:t>
      </w:r>
    </w:p>
    <w:p>
      <w:pPr>
        <w:pStyle w:val="BodyText"/>
      </w:pPr>
      <w:r>
        <w:rPr>
          <w:bCs/>
          <w:b/>
        </w:rPr>
        <w:t xml:space="preserve">For the Banker / Service Provider</w:t>
      </w:r>
      <w:r>
        <w:br/>
      </w:r>
      <w:r>
        <w:t xml:space="preserve">M. Ousmane Diop</w:t>
      </w:r>
      <w:r>
        <w:br/>
      </w:r>
      <w:r>
        <w:t xml:space="preserve">Senior Banker, Corporate Advisory</w:t>
      </w:r>
      <w:r>
        <w:br/>
      </w:r>
      <w:r>
        <w:t xml:space="preserve">Date: _______________</w:t>
      </w:r>
    </w:p>
    <w:p>
      <w:pPr>
        <w:pStyle w:val="BodyText"/>
      </w:pPr>
      <w:r>
        <w:t xml:space="preserve">This Quotation Estimate document (Ref: QE-SEN-DKR-2025-0417) is issued exclusively for the Banker services engagement in Senegal, Dakar. It does not constitute a binding contract until countersigned by both parties. All amounts are denominated in West African CFA Francs (XOF) unless otherwise stated. Exchange rate reference: 1 EUR = 655.957 XOF (BCEAO reference rate, June 2025).</w:t>
      </w:r>
    </w:p>
    <w:p>
      <w:pPr>
        <w:pStyle w:val="BodyText"/>
      </w:pPr>
      <w:r>
        <w:t xml:space="preserve">© 2025 – All Rights Reserved. Printed in Dakar,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Senegal Dakar</dc:title>
  <dc:creator/>
  <dc:language>en</dc:language>
  <cp:keywords/>
  <dcterms:created xsi:type="dcterms:W3CDTF">2026-10-10T06:58:34Z</dcterms:created>
  <dcterms:modified xsi:type="dcterms:W3CDTF">2026-10-10T06:58:34Z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