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Banker Services — Singapore Singapore</w:t>
      </w:r>
    </w:p>
    <w:p>
      <w:pPr>
        <w:pStyle w:val="BodyText"/>
      </w:pPr>
      <w:r>
        <w:t xml:space="preserve">REF: QE-SG-2025-04782</w:t>
      </w:r>
    </w:p>
    <w:bookmarkEnd w:id="20"/>
    <w:bookmarkStart w:id="21" w:name="prepared-by"/>
    <w:p>
      <w:pPr>
        <w:pStyle w:val="Heading3"/>
      </w:pPr>
      <w:r>
        <w:t xml:space="preserve">Prepared By</w:t>
      </w:r>
    </w:p>
    <w:p>
      <w:pPr>
        <w:pStyle w:val="FirstParagraph"/>
      </w:pPr>
      <w:r>
        <w:rPr>
          <w:bCs/>
          <w:b/>
        </w:rPr>
        <w:t xml:space="preserve">Meridian Financial Advisory Pte. Ltd.</w:t>
      </w:r>
    </w:p>
    <w:p>
      <w:pPr>
        <w:pStyle w:val="BodyText"/>
      </w:pPr>
      <w:r>
        <w:t xml:space="preserve">12 Marina Boulevard, Level 38</w:t>
      </w:r>
    </w:p>
    <w:p>
      <w:pPr>
        <w:pStyle w:val="BodyText"/>
      </w:pPr>
      <w:r>
        <w:t xml:space="preserve">Singapore Singapore 018982</w:t>
      </w:r>
    </w:p>
    <w:p>
      <w:pPr>
        <w:pStyle w:val="BodyText"/>
      </w:pPr>
      <w:r>
        <w:t xml:space="preserve">Tel: +65 6882 4400</w:t>
      </w:r>
    </w:p>
    <w:p>
      <w:pPr>
        <w:pStyle w:val="BodyText"/>
      </w:pPr>
      <w:r>
        <w:t xml:space="preserve">Email: quotations@meridianfa.sg</w:t>
      </w:r>
    </w:p>
    <w:p>
      <w:pPr>
        <w:pStyle w:val="BodyText"/>
      </w:pPr>
      <w:r>
        <w:t xml:space="preserve">UEN: 2019334455K</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Singapore Singapore</w:t>
      </w:r>
    </w:p>
    <w:p>
      <w:pPr>
        <w:pStyle w:val="BodyText"/>
      </w:pPr>
      <w:r>
        <w:rPr>
          <w:bCs/>
          <w:b/>
        </w:rPr>
        <w:t xml:space="preserve">Contact Person:</w:t>
      </w:r>
      <w:r>
        <w:t xml:space="preserve"> </w:t>
      </w:r>
      <w:r>
        <w:t xml:space="preserve">[Name &amp; Title]</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Financial Advisory Pte. Ltd. to provide a comprehensive and itemised cost breakdown for the engagement of a qualified</w:t>
      </w:r>
      <w:r>
        <w:t xml:space="preserve"> </w:t>
      </w:r>
      <w:r>
        <w:t xml:space="preserve">Banker</w:t>
      </w:r>
      <w:r>
        <w:t xml:space="preserve"> </w:t>
      </w:r>
      <w:r>
        <w:t xml:space="preserve">to deliver professional financial advisory, transactional banking, and corporate treasury services within the jurisdiction of</w:t>
      </w:r>
      <w:r>
        <w:t xml:space="preserve"> </w:t>
      </w:r>
      <w:r>
        <w:t xml:space="preserve">Singapore Singapore</w:t>
      </w:r>
      <w:r>
        <w:t xml:space="preserve">. This document serves as a formal pricing proposal and does not constitute a binding contract until both parties have executed the definitive Service Agreement. All figures presented in this Quotation Estimate are exclusive of Goods and Services Tax (GST) at the prevailing rate of 9% applicable in Singapore Singapore unless otherwise stated.</w:t>
      </w:r>
    </w:p>
    <w:bookmarkEnd w:id="23"/>
    <w:bookmarkStart w:id="24" w:name="scope-of-banker-services"/>
    <w:p>
      <w:pPr>
        <w:pStyle w:val="Heading2"/>
      </w:pPr>
      <w:r>
        <w:t xml:space="preserve">2. Scope of Banker Services</w:t>
      </w:r>
    </w:p>
    <w:p>
      <w:pPr>
        <w:pStyle w:val="FirstParagraph"/>
      </w:pPr>
      <w:r>
        <w:t xml:space="preserve">The</w:t>
      </w:r>
      <w:r>
        <w:t xml:space="preserve"> </w:t>
      </w:r>
      <w:r>
        <w:t xml:space="preserve">Banker</w:t>
      </w:r>
      <w:r>
        <w:t xml:space="preserve"> </w:t>
      </w:r>
      <w:r>
        <w:t xml:space="preserve">engaged under this Quotation Estimate shall provide the following professional services to the Client, all conducted in full compliance with the regulations of the Monetary Authority of Singapore (MAS) and applicable banking laws in Singapore Singapore:</w:t>
      </w:r>
    </w:p>
    <w:p>
      <w:pPr>
        <w:numPr>
          <w:ilvl w:val="0"/>
          <w:numId w:val="1001"/>
        </w:numPr>
        <w:pStyle w:val="Compact"/>
      </w:pPr>
      <w:r>
        <w:t xml:space="preserve">Corporate banking account structuring and optimisation for multi-currency operations in Singapore Singapore.</w:t>
      </w:r>
    </w:p>
    <w:p>
      <w:pPr>
        <w:numPr>
          <w:ilvl w:val="0"/>
          <w:numId w:val="1001"/>
        </w:numPr>
        <w:pStyle w:val="Compact"/>
      </w:pPr>
      <w:r>
        <w:t xml:space="preserve">Treasury management, including foreign exchange hedging strategies, interest rate risk mitigation, and liquidity planning.</w:t>
      </w:r>
    </w:p>
    <w:p>
      <w:pPr>
        <w:numPr>
          <w:ilvl w:val="0"/>
          <w:numId w:val="1001"/>
        </w:numPr>
        <w:pStyle w:val="Compact"/>
      </w:pPr>
      <w:r>
        <w:t xml:space="preserve">Trade finance advisory covering letters of credit, bank guarantees, and documentary collections for import/export activities.</w:t>
      </w:r>
    </w:p>
    <w:p>
      <w:pPr>
        <w:numPr>
          <w:ilvl w:val="0"/>
          <w:numId w:val="1001"/>
        </w:numPr>
        <w:pStyle w:val="Compact"/>
      </w:pPr>
      <w:r>
        <w:t xml:space="preserve">Capital raising support, including coordination with institutional lenders and structured finance facilities.</w:t>
      </w:r>
    </w:p>
    <w:p>
      <w:pPr>
        <w:numPr>
          <w:ilvl w:val="0"/>
          <w:numId w:val="1001"/>
        </w:numPr>
        <w:pStyle w:val="Compact"/>
      </w:pPr>
      <w:r>
        <w:t xml:space="preserve">Regulatory compliance review and MAS reporting liaison for the Client's banking operations in Singapore Singapore.</w:t>
      </w:r>
    </w:p>
    <w:p>
      <w:pPr>
        <w:numPr>
          <w:ilvl w:val="0"/>
          <w:numId w:val="1001"/>
        </w:numPr>
        <w:pStyle w:val="Compact"/>
      </w:pPr>
      <w:r>
        <w:t xml:space="preserve">Quarterly strategic banking reviews and performance benchmarking against peer institutions in Singapore Singapore.</w:t>
      </w:r>
    </w:p>
    <w:bookmarkEnd w:id="24"/>
    <w:bookmarkStart w:id="25"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Banker Service</w:t>
            </w:r>
          </w:p>
        </w:tc>
        <w:tc>
          <w:tcPr/>
          <w:p>
            <w:pPr>
              <w:pStyle w:val="Compact"/>
              <w:jc w:val="left"/>
            </w:pPr>
            <w:r>
              <w:t xml:space="preserve">Duration / Unit</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1</w:t>
            </w:r>
          </w:p>
        </w:tc>
        <w:tc>
          <w:tcPr/>
          <w:p>
            <w:pPr>
              <w:pStyle w:val="Compact"/>
              <w:jc w:val="left"/>
            </w:pPr>
            <w:r>
              <w:t xml:space="preserve">Senior Banker — Corporate Advisory &amp; Treasury Management (full-time engagement)</w:t>
            </w:r>
          </w:p>
        </w:tc>
        <w:tc>
          <w:tcPr/>
          <w:p>
            <w:pPr>
              <w:pStyle w:val="Compact"/>
              <w:jc w:val="left"/>
            </w:pPr>
            <w:r>
              <w:t xml:space="preserve">12 months</w:t>
            </w:r>
          </w:p>
        </w:tc>
        <w:tc>
          <w:tcPr/>
          <w:p>
            <w:pPr>
              <w:pStyle w:val="Compact"/>
              <w:jc w:val="left"/>
            </w:pPr>
            <w:r>
              <w:t xml:space="preserve">SGD 18,500 / month</w:t>
            </w:r>
          </w:p>
        </w:tc>
        <w:tc>
          <w:tcPr/>
          <w:p>
            <w:pPr>
              <w:pStyle w:val="Compact"/>
              <w:jc w:val="left"/>
            </w:pPr>
            <w:r>
              <w:t xml:space="preserve">SGD 222,000.00</w:t>
            </w:r>
          </w:p>
        </w:tc>
      </w:tr>
      <w:tr>
        <w:tc>
          <w:tcPr/>
          <w:p>
            <w:pPr>
              <w:pStyle w:val="Compact"/>
              <w:jc w:val="left"/>
            </w:pPr>
            <w:r>
              <w:t xml:space="preserve">2</w:t>
            </w:r>
          </w:p>
        </w:tc>
        <w:tc>
          <w:tcPr/>
          <w:p>
            <w:pPr>
              <w:pStyle w:val="Compact"/>
              <w:jc w:val="left"/>
            </w:pPr>
            <w:r>
              <w:t xml:space="preserve">Trade Finance Structuring &amp; Documentation (per transaction)</w:t>
            </w:r>
          </w:p>
        </w:tc>
        <w:tc>
          <w:tcPr/>
          <w:p>
            <w:pPr>
              <w:pStyle w:val="Compact"/>
              <w:jc w:val="left"/>
            </w:pPr>
            <w:r>
              <w:t xml:space="preserve">Up to 15 transactions</w:t>
            </w:r>
          </w:p>
        </w:tc>
        <w:tc>
          <w:tcPr/>
          <w:p>
            <w:pPr>
              <w:pStyle w:val="Compact"/>
              <w:jc w:val="left"/>
            </w:pPr>
            <w:r>
              <w:t xml:space="preserve">SGD 3,200 / transaction</w:t>
            </w:r>
          </w:p>
        </w:tc>
        <w:tc>
          <w:tcPr/>
          <w:p>
            <w:pPr>
              <w:pStyle w:val="Compact"/>
              <w:jc w:val="left"/>
            </w:pPr>
            <w:r>
              <w:t xml:space="preserve">SGD 48,000.00</w:t>
            </w:r>
          </w:p>
        </w:tc>
      </w:tr>
      <w:tr>
        <w:tc>
          <w:tcPr/>
          <w:p>
            <w:pPr>
              <w:pStyle w:val="Compact"/>
              <w:jc w:val="left"/>
            </w:pPr>
            <w:r>
              <w:t xml:space="preserve">3</w:t>
            </w:r>
          </w:p>
        </w:tc>
        <w:tc>
          <w:tcPr/>
          <w:p>
            <w:pPr>
              <w:pStyle w:val="Compact"/>
              <w:jc w:val="left"/>
            </w:pPr>
            <w:r>
              <w:t xml:space="preserve">Foreign Exchange &amp; Interest Rate Hedging Advisory (monthly retainer)</w:t>
            </w:r>
          </w:p>
        </w:tc>
        <w:tc>
          <w:tcPr/>
          <w:p>
            <w:pPr>
              <w:pStyle w:val="Compact"/>
              <w:jc w:val="left"/>
            </w:pPr>
            <w:r>
              <w:t xml:space="preserve">12 months</w:t>
            </w:r>
          </w:p>
        </w:tc>
        <w:tc>
          <w:tcPr/>
          <w:p>
            <w:pPr>
              <w:pStyle w:val="Compact"/>
              <w:jc w:val="left"/>
            </w:pPr>
            <w:r>
              <w:t xml:space="preserve">SGD 4,800 / month</w:t>
            </w:r>
          </w:p>
        </w:tc>
        <w:tc>
          <w:tcPr/>
          <w:p>
            <w:pPr>
              <w:pStyle w:val="Compact"/>
              <w:jc w:val="left"/>
            </w:pPr>
            <w:r>
              <w:t xml:space="preserve">SGD 57,600.00</w:t>
            </w:r>
          </w:p>
        </w:tc>
      </w:tr>
      <w:tr>
        <w:tc>
          <w:tcPr/>
          <w:p>
            <w:pPr>
              <w:pStyle w:val="Compact"/>
              <w:jc w:val="left"/>
            </w:pPr>
            <w:r>
              <w:t xml:space="preserve">4</w:t>
            </w:r>
          </w:p>
        </w:tc>
        <w:tc>
          <w:tcPr/>
          <w:p>
            <w:pPr>
              <w:pStyle w:val="Compact"/>
              <w:jc w:val="left"/>
            </w:pPr>
            <w:r>
              <w:t xml:space="preserve">Regulatory Compliance &amp; MAS Reporting Liaison (quarterly)</w:t>
            </w:r>
          </w:p>
        </w:tc>
        <w:tc>
          <w:tcPr/>
          <w:p>
            <w:pPr>
              <w:pStyle w:val="Compact"/>
              <w:jc w:val="left"/>
            </w:pPr>
            <w:r>
              <w:t xml:space="preserve">4 quarters</w:t>
            </w:r>
          </w:p>
        </w:tc>
        <w:tc>
          <w:tcPr/>
          <w:p>
            <w:pPr>
              <w:pStyle w:val="Compact"/>
              <w:jc w:val="left"/>
            </w:pPr>
            <w:r>
              <w:t xml:space="preserve">SGD 6,500 / quarter</w:t>
            </w:r>
          </w:p>
        </w:tc>
        <w:tc>
          <w:tcPr/>
          <w:p>
            <w:pPr>
              <w:pStyle w:val="Compact"/>
              <w:jc w:val="left"/>
            </w:pPr>
            <w:r>
              <w:t xml:space="preserve">SGD 26,000.00</w:t>
            </w:r>
          </w:p>
        </w:tc>
      </w:tr>
      <w:tr>
        <w:tc>
          <w:tcPr/>
          <w:p>
            <w:pPr>
              <w:pStyle w:val="Compact"/>
              <w:jc w:val="left"/>
            </w:pPr>
            <w:r>
              <w:t xml:space="preserve">5</w:t>
            </w:r>
          </w:p>
        </w:tc>
        <w:tc>
          <w:tcPr/>
          <w:p>
            <w:pPr>
              <w:pStyle w:val="Compact"/>
              <w:jc w:val="left"/>
            </w:pPr>
            <w:r>
              <w:t xml:space="preserve">Capital Raising &amp; Structured Finance Coordination (one-time)</w:t>
            </w:r>
          </w:p>
        </w:tc>
        <w:tc>
          <w:tcPr/>
          <w:p>
            <w:pPr>
              <w:pStyle w:val="Compact"/>
              <w:jc w:val="left"/>
            </w:pPr>
            <w:r>
              <w:t xml:space="preserve">1 engagement</w:t>
            </w:r>
          </w:p>
        </w:tc>
        <w:tc>
          <w:tcPr/>
          <w:p>
            <w:pPr>
              <w:pStyle w:val="Compact"/>
              <w:jc w:val="left"/>
            </w:pPr>
            <w:r>
              <w:t xml:space="preserve">SGD 35,000</w:t>
            </w:r>
          </w:p>
        </w:tc>
        <w:tc>
          <w:tcPr/>
          <w:p>
            <w:pPr>
              <w:pStyle w:val="Compact"/>
              <w:jc w:val="left"/>
            </w:pPr>
            <w:r>
              <w:t xml:space="preserve">SGD 35,000.00</w:t>
            </w:r>
          </w:p>
        </w:tc>
      </w:tr>
      <w:tr>
        <w:tc>
          <w:tcPr/>
          <w:p>
            <w:pPr>
              <w:pStyle w:val="Compact"/>
              <w:jc w:val="left"/>
            </w:pPr>
            <w:r>
              <w:t xml:space="preserve">6</w:t>
            </w:r>
          </w:p>
        </w:tc>
        <w:tc>
          <w:tcPr/>
          <w:p>
            <w:pPr>
              <w:pStyle w:val="Compact"/>
              <w:jc w:val="left"/>
            </w:pPr>
            <w:r>
              <w:t xml:space="preserve">Quarterly Strategic Banking Review &amp; Peer Benchmarking (Singapore Singapore market)</w:t>
            </w:r>
          </w:p>
        </w:tc>
        <w:tc>
          <w:tcPr/>
          <w:p>
            <w:pPr>
              <w:pStyle w:val="Compact"/>
              <w:jc w:val="left"/>
            </w:pPr>
            <w:r>
              <w:t xml:space="preserve">4 reviews</w:t>
            </w:r>
          </w:p>
        </w:tc>
        <w:tc>
          <w:tcPr/>
          <w:p>
            <w:pPr>
              <w:pStyle w:val="Compact"/>
              <w:jc w:val="left"/>
            </w:pPr>
            <w:r>
              <w:t xml:space="preserve">SGD 5,200 / review</w:t>
            </w:r>
          </w:p>
        </w:tc>
        <w:tc>
          <w:tcPr/>
          <w:p>
            <w:pPr>
              <w:pStyle w:val="Compact"/>
              <w:jc w:val="left"/>
            </w:pPr>
            <w:r>
              <w:t xml:space="preserve">SGD 20,800.00</w:t>
            </w:r>
          </w:p>
        </w:tc>
      </w:tr>
      <w:tr>
        <w:tc>
          <w:tcPr/>
          <w:p>
            <w:pPr>
              <w:pStyle w:val="Compact"/>
              <w:jc w:val="left"/>
            </w:pPr>
            <w:r>
              <w:t xml:space="preserve">7</w:t>
            </w:r>
          </w:p>
        </w:tc>
        <w:tc>
          <w:tcPr/>
          <w:p>
            <w:pPr>
              <w:pStyle w:val="Compact"/>
              <w:jc w:val="left"/>
            </w:pPr>
            <w:r>
              <w:t xml:space="preserve">On-site Consultation &amp; Travel within Singapore Singapore (daily rate)</w:t>
            </w:r>
          </w:p>
        </w:tc>
        <w:tc>
          <w:tcPr/>
          <w:p>
            <w:pPr>
              <w:pStyle w:val="Compact"/>
              <w:jc w:val="left"/>
            </w:pPr>
            <w:r>
              <w:t xml:space="preserve">Up to 20 days</w:t>
            </w:r>
          </w:p>
        </w:tc>
        <w:tc>
          <w:tcPr/>
          <w:p>
            <w:pPr>
              <w:pStyle w:val="Compact"/>
              <w:jc w:val="left"/>
            </w:pPr>
            <w:r>
              <w:t xml:space="preserve">SGD 1,200 / day</w:t>
            </w:r>
          </w:p>
        </w:tc>
        <w:tc>
          <w:tcPr/>
          <w:p>
            <w:pPr>
              <w:pStyle w:val="Compact"/>
              <w:jc w:val="left"/>
            </w:pPr>
            <w:r>
              <w:t xml:space="preserve">SGD 24,000.00</w:t>
            </w:r>
          </w:p>
        </w:tc>
      </w:tr>
      <w:tr>
        <w:tc>
          <w:tcPr/>
          <w:p>
            <w:pPr>
              <w:pStyle w:val="Compact"/>
              <w:jc w:val="left"/>
            </w:pPr>
            <w:r>
              <w:t xml:space="preserve">8</w:t>
            </w:r>
          </w:p>
        </w:tc>
        <w:tc>
          <w:tcPr/>
          <w:p>
            <w:pPr>
              <w:pStyle w:val="Compact"/>
              <w:jc w:val="left"/>
            </w:pPr>
            <w:r>
              <w:t xml:space="preserve">Emergency / After-Hours Banker Support (call-out fee)</w:t>
            </w:r>
          </w:p>
        </w:tc>
        <w:tc>
          <w:tcPr/>
          <w:p>
            <w:pPr>
              <w:pStyle w:val="Compact"/>
              <w:jc w:val="left"/>
            </w:pPr>
            <w:r>
              <w:t xml:space="preserve">Up to 5 calls</w:t>
            </w:r>
          </w:p>
        </w:tc>
        <w:tc>
          <w:tcPr/>
          <w:p>
            <w:pPr>
              <w:pStyle w:val="Compact"/>
              <w:jc w:val="left"/>
            </w:pPr>
            <w:r>
              <w:t xml:space="preserve">SGD 2,500 / call</w:t>
            </w:r>
          </w:p>
        </w:tc>
        <w:tc>
          <w:tcPr/>
          <w:p>
            <w:pPr>
              <w:pStyle w:val="Compact"/>
              <w:jc w:val="left"/>
            </w:pPr>
            <w:r>
              <w:t xml:space="preserve">SGD 12,500.00</w:t>
            </w:r>
          </w:p>
        </w:tc>
      </w:tr>
      <w:tr>
        <w:tc>
          <w:tcPr>
            <w:gridSpan w:val="4"/>
          </w:tcPr>
          <w:p>
            <w:pPr>
              <w:pStyle w:val="Compact"/>
              <w:jc w:val="right"/>
            </w:pPr>
            <w:r>
              <w:t xml:space="preserve">Subtotal (Excluding GST)</w:t>
            </w:r>
          </w:p>
        </w:tc>
        <w:tc>
          <w:tcPr/>
          <w:p>
            <w:pPr>
              <w:pStyle w:val="Compact"/>
              <w:jc w:val="left"/>
            </w:pPr>
            <w:r>
              <w:t xml:space="preserve">SGD 445,900.00</w:t>
            </w:r>
          </w:p>
        </w:tc>
      </w:tr>
      <w:tr>
        <w:tc>
          <w:tcPr>
            <w:gridSpan w:val="4"/>
          </w:tcPr>
          <w:p>
            <w:pPr>
              <w:pStyle w:val="Compact"/>
              <w:jc w:val="right"/>
            </w:pPr>
            <w:r>
              <w:t xml:space="preserve">GST @ 9% (Singapore Singapore)</w:t>
            </w:r>
          </w:p>
        </w:tc>
        <w:tc>
          <w:tcPr/>
          <w:p>
            <w:pPr>
              <w:pStyle w:val="Compact"/>
              <w:jc w:val="left"/>
            </w:pPr>
            <w:r>
              <w:t xml:space="preserve">SGD 40,131.00</w:t>
            </w:r>
          </w:p>
        </w:tc>
      </w:tr>
      <w:tr>
        <w:tc>
          <w:tcPr>
            <w:gridSpan w:val="4"/>
          </w:tcPr>
          <w:p>
            <w:pPr>
              <w:pStyle w:val="Compact"/>
              <w:jc w:val="right"/>
            </w:pPr>
            <w:r>
              <w:t xml:space="preserve">TOTAL QUOTATION ESTIMATE AMOUNT</w:t>
            </w:r>
          </w:p>
        </w:tc>
        <w:tc>
          <w:tcPr/>
          <w:p>
            <w:pPr>
              <w:pStyle w:val="Compact"/>
              <w:jc w:val="left"/>
            </w:pPr>
            <w:r>
              <w:t xml:space="preserve">SGD 486,031.00</w:t>
            </w:r>
          </w:p>
        </w:tc>
      </w:tr>
    </w:tbl>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Beyond this period, all rates and the total amount stated herein are subject to revision based on prevailing market conditions in Singapore Singapore.</w:t>
      </w:r>
    </w:p>
    <w:p>
      <w:pPr>
        <w:numPr>
          <w:ilvl w:val="0"/>
          <w:numId w:val="1002"/>
        </w:numPr>
        <w:pStyle w:val="Compact"/>
      </w:pPr>
      <w:r>
        <w:t xml:space="preserve">The</w:t>
      </w:r>
      <w:r>
        <w:t xml:space="preserve"> </w:t>
      </w:r>
      <w:r>
        <w:t xml:space="preserve">Banker</w:t>
      </w:r>
      <w:r>
        <w:t xml:space="preserve"> </w:t>
      </w:r>
      <w:r>
        <w:t xml:space="preserve">named or assigned under this engagement shall hold a valid MAS-recognised professional licence and shall maintain professional indemnity insurance of no less than SGD 2,000,000 throughout the term of service in Singapore Singapore.</w:t>
      </w:r>
    </w:p>
    <w:p>
      <w:pPr>
        <w:numPr>
          <w:ilvl w:val="0"/>
          <w:numId w:val="1002"/>
        </w:numPr>
        <w:pStyle w:val="Compact"/>
      </w:pPr>
      <w:r>
        <w:t xml:space="preserve">Payment terms: 50% of the total Quotation Estimate amount shall be due upon execution of the Service Agreement, and the remaining 50% shall be payable in equal monthly instalments over the twelve (12) month engagement period.</w:t>
      </w:r>
    </w:p>
    <w:p>
      <w:pPr>
        <w:numPr>
          <w:ilvl w:val="0"/>
          <w:numId w:val="1002"/>
        </w:numPr>
        <w:pStyle w:val="Compact"/>
      </w:pPr>
      <w:r>
        <w:t xml:space="preserve">All services shall be performed in accordance with the Banking Act (Cap. 19) of Singapore Singapore, the MAS Notices, and the Client's internal compliance policies.</w:t>
      </w:r>
    </w:p>
    <w:p>
      <w:pPr>
        <w:numPr>
          <w:ilvl w:val="0"/>
          <w:numId w:val="1002"/>
        </w:numPr>
        <w:pStyle w:val="Compact"/>
      </w:pPr>
      <w:r>
        <w:t xml:space="preserve">Confidentiality: The Banker and Meridian Financial Advisory Pte. Ltd. shall treat all Client information as strictly confidential and shall not disclose any proprietary data to third parties without written consent, in accordance with Singapore Singapore data protection legislation (PDPA).</w:t>
      </w:r>
    </w:p>
    <w:p>
      <w:pPr>
        <w:numPr>
          <w:ilvl w:val="0"/>
          <w:numId w:val="1002"/>
        </w:numPr>
        <w:pStyle w:val="Compact"/>
      </w:pPr>
      <w:r>
        <w:t xml:space="preserve">Any additional services beyond the scope outlined in this Quotation Estimate shall be subject to a separate written amendment and additional Quotation Estimate issued by the undersigned.</w:t>
      </w:r>
    </w:p>
    <w:p>
      <w:pPr>
        <w:numPr>
          <w:ilvl w:val="0"/>
          <w:numId w:val="1002"/>
        </w:numPr>
        <w:pStyle w:val="Compact"/>
      </w:pPr>
      <w:r>
        <w:t xml:space="preserve">Disputes arising from this Quotation Estimate or the subsequent Service Agreement shall be resolved through arbitration in Singapore Singapore under the rules of the Singapore International Arbitration Centre (SIAC).</w:t>
      </w:r>
    </w:p>
    <w:p>
      <w:pPr>
        <w:numPr>
          <w:ilvl w:val="0"/>
          <w:numId w:val="1002"/>
        </w:numPr>
        <w:pStyle w:val="Compact"/>
      </w:pPr>
      <w:r>
        <w:t xml:space="preserve">This Quotation Estimate does not guarantee any specific financial outcome, return on investment, or regulatory approval. The Banker's role is advisory and transactional in nature.</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herein for the engagement of the Banker services in Singapore Singapore. This acceptance shall trigger the preparation of the definitive Service Agreement within five (5) business days.</w:t>
      </w:r>
    </w:p>
    <w:p>
      <w:pPr>
        <w:pStyle w:val="BodyText"/>
      </w:pPr>
      <w:r>
        <w:rPr>
          <w:bCs/>
          <w:b/>
        </w:rPr>
        <w:t xml:space="preserve">For and on behalf of Meridian Financial Advisory Pte. Ltd.</w:t>
      </w:r>
    </w:p>
    <w:p>
      <w:pPr>
        <w:pStyle w:val="BodyText"/>
      </w:pPr>
      <w:r>
        <w:t xml:space="preserve">Name: ______________________</w:t>
      </w:r>
    </w:p>
    <w:p>
      <w:pPr>
        <w:pStyle w:val="BodyText"/>
      </w:pPr>
      <w:r>
        <w:t xml:space="preserve">Title: Director / Lead Banker</w:t>
      </w:r>
    </w:p>
    <w:p>
      <w:pPr>
        <w:pStyle w:val="BodyText"/>
      </w:pPr>
      <w:r>
        <w:t xml:space="preserve">Date: ______________________</w:t>
      </w:r>
    </w:p>
    <w:p>
      <w:pPr>
        <w:pStyle w:val="BodyText"/>
      </w:pPr>
      <w:r>
        <w:rPr>
          <w:bCs/>
          <w:b/>
        </w:rPr>
        <w:t xml:space="preserve">For and on behalf of the Client</w:t>
      </w:r>
    </w:p>
    <w:p>
      <w:pPr>
        <w:pStyle w:val="BodyText"/>
      </w:pPr>
      <w:r>
        <w:t xml:space="preserve">Name: ______________________</w:t>
      </w:r>
    </w:p>
    <w:p>
      <w:pPr>
        <w:pStyle w:val="BodyText"/>
      </w:pPr>
      <w:r>
        <w:t xml:space="preserve">Title: ______________________</w:t>
      </w:r>
    </w:p>
    <w:p>
      <w:pPr>
        <w:pStyle w:val="BodyText"/>
      </w:pPr>
      <w:r>
        <w:t xml:space="preserve">Date: ______________________</w:t>
      </w:r>
    </w:p>
    <w:p>
      <w:pPr>
        <w:pStyle w:val="BodyText"/>
      </w:pPr>
      <w:r>
        <w:t xml:space="preserve">This Quotation Estimate document was prepared for use in Singapore Singapore and is governed by the laws of Singapore Singapore.</w:t>
      </w:r>
    </w:p>
    <w:p>
      <w:pPr>
        <w:pStyle w:val="BodyText"/>
      </w:pPr>
      <w:r>
        <w:t xml:space="preserve">Meridian Financial Advisory Pte. Ltd. — UEN: 2019334455K — 12 Marina Boulevard, Level 38, Singapore Singapore 018982</w:t>
      </w:r>
    </w:p>
    <w:p>
      <w:pPr>
        <w:pStyle w:val="BodyText"/>
      </w:pPr>
      <w:r>
        <w:t xml:space="preserve">Document Reference: QE-SG-2025-04782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Singapore Singapore</dc:title>
  <dc:creator/>
  <dc:language>en</dc:language>
  <cp:keywords/>
  <dcterms:created xsi:type="dcterms:W3CDTF">2026-10-10T08:41:49Z</dcterms:created>
  <dcterms:modified xsi:type="dcterms:W3CDTF">2026-10-10T08:41:49Z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