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Banker Services &amp; Corporate Financial Solutions</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QE-JHB-2025-04782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(until 14 July 2025)</w:t>
            </w:r>
          </w:p>
        </w:tc>
        <w:tc>
          <w:tcPr/>
          <w:p>
            <w:pPr>
              <w:pStyle w:val="Compact"/>
              <w:jc w:val="left"/>
            </w:pPr>
            <w:r>
              <w:t xml:space="preserve">Currency:</w:t>
            </w:r>
          </w:p>
        </w:tc>
        <w:tc>
          <w:tcPr/>
          <w:p>
            <w:pPr>
              <w:pStyle w:val="Compact"/>
              <w:jc w:val="left"/>
            </w:pPr>
            <w:r>
              <w:t xml:space="preserve">South African Rand (ZAR)</w:t>
            </w:r>
          </w:p>
        </w:tc>
      </w:tr>
      <w:tr>
        <w:tc>
          <w:tcPr/>
          <w:p>
            <w:pPr>
              <w:pStyle w:val="Compact"/>
              <w:jc w:val="left"/>
            </w:pPr>
            <w:r>
              <w:t xml:space="preserve">Service Location:</w:t>
            </w:r>
          </w:p>
        </w:tc>
        <w:tc>
          <w:tcPr>
            <w:gridSpan w:val="3"/>
          </w:tcPr>
          <w:p>
            <w:pPr>
              <w:pStyle w:val="Compact"/>
              <w:jc w:val="left"/>
            </w:pPr>
            <w:r>
              <w:t xml:space="preserve">Johannesburg, Gauteng, South Africa</w:t>
            </w:r>
          </w:p>
        </w:tc>
      </w:tr>
    </w:tbl>
    <w:p/>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Prepared By (Banker):</w:t>
            </w:r>
          </w:p>
        </w:tc>
        <w:tc>
          <w:tcPr>
            <w:gridSpan w:val="3"/>
          </w:tcPr>
          <w:p>
            <w:pPr>
              <w:pStyle w:val="Compact"/>
              <w:jc w:val="left"/>
            </w:pPr>
            <w:r>
              <w:rPr>
                <w:bCs/>
                <w:b/>
              </w:rPr>
              <w:t xml:space="preserve">Mr. Thabo M. Nkosi</w:t>
            </w:r>
            <w:r>
              <w:br/>
            </w:r>
            <w:r>
              <w:t xml:space="preserve">Senior Corporate Banker &amp; Financial Advisor</w:t>
            </w:r>
            <w:r>
              <w:br/>
            </w:r>
            <w:r>
              <w:t xml:space="preserve">Standard Corporate Banking Division</w:t>
            </w:r>
            <w:r>
              <w:br/>
            </w:r>
            <w:r>
              <w:t xml:space="preserve">15 Maude Street, Sandton, Johannesburg, 2196, South Africa</w:t>
            </w:r>
            <w:r>
              <w:br/>
            </w:r>
            <w:r>
              <w:t xml:space="preserve">Tel: +27 (0)11 447 8200 | Email: t.nkosi@corpbank.co.za</w:t>
            </w:r>
          </w:p>
        </w:tc>
      </w:tr>
      <w:tr>
        <w:tc>
          <w:tcPr/>
          <w:p>
            <w:pPr>
              <w:pStyle w:val="Compact"/>
              <w:jc w:val="left"/>
            </w:pPr>
            <w:r>
              <w:t xml:space="preserve">Prepared For (Client):</w:t>
            </w:r>
          </w:p>
        </w:tc>
        <w:tc>
          <w:tcPr>
            <w:gridSpan w:val="3"/>
          </w:tcPr>
          <w:p>
            <w:pPr>
              <w:pStyle w:val="Compact"/>
              <w:jc w:val="left"/>
            </w:pPr>
            <w:r>
              <w:rPr>
                <w:bCs/>
                <w:b/>
              </w:rPr>
              <w:t xml:space="preserve">Mrs. Lerato D. van der Merwe</w:t>
            </w:r>
            <w:r>
              <w:br/>
            </w:r>
            <w:r>
              <w:t xml:space="preserve">Chief Financial Officer</w:t>
            </w:r>
            <w:r>
              <w:br/>
            </w:r>
            <w:r>
              <w:t xml:space="preserve">Apex Manufacturing Holdings (Pty) Ltd</w:t>
            </w:r>
            <w:r>
              <w:br/>
            </w:r>
            <w:r>
              <w:t xml:space="preserve">220 Rivonia Road, Sandton, Johannesburg, 2196, South Africa</w:t>
            </w:r>
            <w:r>
              <w:br/>
            </w:r>
            <w:r>
              <w:t xml:space="preserve">VAT No: 4930 118 227</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the undersigned</w:t>
      </w:r>
      <w:r>
        <w:t xml:space="preserve"> </w:t>
      </w:r>
      <w:r>
        <w:t xml:space="preserve">Banker</w:t>
      </w:r>
      <w:r>
        <w:t xml:space="preserve"> </w:t>
      </w:r>
      <w:r>
        <w:t xml:space="preserve">to provide Apex Manufacturing Holdings (Pty) Ltd with a comprehensive, itemised financial projection for the engagement of corporate banking and treasury management services. The services described herein are specifically tailored to the operational and regulatory environment of</w:t>
      </w:r>
      <w:r>
        <w:t xml:space="preserve"> </w:t>
      </w:r>
      <w:r>
        <w:t xml:space="preserve">South Africa Johannesburg</w:t>
      </w:r>
      <w:r>
        <w:t xml:space="preserve">, taking into account the unique commercial landscape, regulatory requirements of the South African Reserve Bank, and the competitive dynamics of the Gauteng business district. This document serves as a binding financial estimate for the scope of work outlined below and is valid for the period stated in the header.</w:t>
      </w:r>
    </w:p>
    <w:bookmarkEnd w:id="21"/>
    <w:bookmarkStart w:id="22" w:name="scope-of-banker-services"/>
    <w:p>
      <w:pPr>
        <w:pStyle w:val="Heading2"/>
      </w:pPr>
      <w:r>
        <w:t xml:space="preserve">2. Scope of Banker Services</w:t>
      </w:r>
    </w:p>
    <w:p>
      <w:pPr>
        <w:pStyle w:val="FirstParagraph"/>
      </w:pPr>
      <w:r>
        <w:t xml:space="preserve">The</w:t>
      </w:r>
      <w:r>
        <w:t xml:space="preserve"> </w:t>
      </w:r>
      <w:r>
        <w:t xml:space="preserve">Banker</w:t>
      </w:r>
      <w:r>
        <w:t xml:space="preserve"> </w:t>
      </w:r>
      <w:r>
        <w:t xml:space="preserve">engaged under this Quotation Estimate shall provide the following professional services to the client, all delivered from the Johannesburg metropolitan office and in full compliance with the Financial Intelligence Centre Act (FICA), the National Credit Act, and all applicable South African banking regulations:</w:t>
      </w:r>
    </w:p>
    <w:p>
      <w:pPr>
        <w:numPr>
          <w:ilvl w:val="0"/>
          <w:numId w:val="1001"/>
        </w:numPr>
        <w:pStyle w:val="Compact"/>
      </w:pPr>
      <w:r>
        <w:rPr>
          <w:bCs/>
          <w:b/>
        </w:rPr>
        <w:t xml:space="preserve">Corporate Account Management:</w:t>
      </w:r>
      <w:r>
        <w:t xml:space="preserve"> </w:t>
      </w:r>
      <w:r>
        <w:t xml:space="preserve">Ongoing management of multi-currency business accounts (ZAR, USD, EUR) with dedicated relationship servicing from the Johannesburg Sandton branch.</w:t>
      </w:r>
    </w:p>
    <w:p>
      <w:pPr>
        <w:numPr>
          <w:ilvl w:val="0"/>
          <w:numId w:val="1001"/>
        </w:numPr>
        <w:pStyle w:val="Compact"/>
      </w:pPr>
      <w:r>
        <w:rPr>
          <w:bCs/>
          <w:b/>
        </w:rPr>
        <w:t xml:space="preserve">Treasury &amp; Cash Management:</w:t>
      </w:r>
      <w:r>
        <w:t xml:space="preserve"> </w:t>
      </w:r>
      <w:r>
        <w:t xml:space="preserve">Daily liquidity forecasting, automated sweep arrangements, and intercompany fund transfers across the client's South Africa Johannesburg and regional subsidiaries.</w:t>
      </w:r>
    </w:p>
    <w:p>
      <w:pPr>
        <w:numPr>
          <w:ilvl w:val="0"/>
          <w:numId w:val="1001"/>
        </w:numPr>
        <w:pStyle w:val="Compact"/>
      </w:pPr>
      <w:r>
        <w:rPr>
          <w:bCs/>
          <w:b/>
        </w:rPr>
        <w:t xml:space="preserve">Trade Finance Advisory:</w:t>
      </w:r>
      <w:r>
        <w:t xml:space="preserve"> </w:t>
      </w:r>
      <w:r>
        <w:t xml:space="preserve">Structuring of letters of credit, documentary collections, and export credit facilities to support the client's import/export operations through the Port of Durban and Johannesburg air freight corridors.</w:t>
      </w:r>
    </w:p>
    <w:p>
      <w:pPr>
        <w:numPr>
          <w:ilvl w:val="0"/>
          <w:numId w:val="1001"/>
        </w:numPr>
        <w:pStyle w:val="Compact"/>
      </w:pPr>
      <w:r>
        <w:rPr>
          <w:bCs/>
          <w:b/>
        </w:rPr>
        <w:t xml:space="preserve">Foreign Exchange Hedging:</w:t>
      </w:r>
      <w:r>
        <w:t xml:space="preserve"> </w:t>
      </w:r>
      <w:r>
        <w:t xml:space="preserve">Provision of forward contracts, options, and currency swaps to mitigate FX exposure arising from the client's international supply chain.</w:t>
      </w:r>
    </w:p>
    <w:p>
      <w:pPr>
        <w:numPr>
          <w:ilvl w:val="0"/>
          <w:numId w:val="1001"/>
        </w:numPr>
        <w:pStyle w:val="Compact"/>
      </w:pPr>
      <w:r>
        <w:rPr>
          <w:bCs/>
          <w:b/>
        </w:rPr>
        <w:t xml:space="preserve">Regulatory Compliance &amp; Reporting:</w:t>
      </w:r>
      <w:r>
        <w:t xml:space="preserve"> </w:t>
      </w:r>
      <w:r>
        <w:t xml:space="preserve">Monthly FICA compliance reporting, beneficial ownership declarations, and quarterly regulatory submissions on behalf of the client.</w:t>
      </w:r>
    </w:p>
    <w:p>
      <w:pPr>
        <w:numPr>
          <w:ilvl w:val="0"/>
          <w:numId w:val="1001"/>
        </w:numPr>
        <w:pStyle w:val="Compact"/>
      </w:pPr>
      <w:r>
        <w:rPr>
          <w:bCs/>
          <w:b/>
        </w:rPr>
        <w:t xml:space="preserve">Strategic Financial Advisory:</w:t>
      </w:r>
      <w:r>
        <w:t xml:space="preserve"> </w:t>
      </w:r>
      <w:r>
        <w:t xml:space="preserve">Quarterly on-site consultations at the client's Johannesburg premises to review capital structure, debt servicing capacity, and growth financing options.</w:t>
      </w:r>
    </w:p>
    <w:bookmarkEnd w:id="22"/>
    <w:bookmarkStart w:id="23"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Estimated Cost (ZAR)</w:t>
            </w:r>
          </w:p>
        </w:tc>
      </w:tr>
      <w:tr>
        <w:tc>
          <w:tcPr/>
          <w:p>
            <w:pPr>
              <w:pStyle w:val="Compact"/>
              <w:jc w:val="left"/>
            </w:pPr>
            <w:r>
              <w:t xml:space="preserve">01</w:t>
            </w:r>
          </w:p>
        </w:tc>
        <w:tc>
          <w:tcPr/>
          <w:p>
            <w:pPr>
              <w:pStyle w:val="Compact"/>
              <w:jc w:val="left"/>
            </w:pPr>
            <w:r>
              <w:t xml:space="preserve">Corporate Account Setup &amp; Onboarding (multi-currency, ZAR/USD/EUR)</w:t>
            </w:r>
          </w:p>
        </w:tc>
        <w:tc>
          <w:tcPr/>
          <w:p>
            <w:pPr>
              <w:pStyle w:val="Compact"/>
              <w:jc w:val="left"/>
            </w:pPr>
            <w:r>
              <w:t xml:space="preserve">One-off</w:t>
            </w:r>
          </w:p>
        </w:tc>
        <w:tc>
          <w:tcPr/>
          <w:p>
            <w:pPr>
              <w:pStyle w:val="Compact"/>
              <w:jc w:val="left"/>
            </w:pPr>
            <w:r>
              <w:t xml:space="preserve">R 12,500.00</w:t>
            </w:r>
          </w:p>
        </w:tc>
      </w:tr>
      <w:tr>
        <w:tc>
          <w:tcPr/>
          <w:p>
            <w:pPr>
              <w:pStyle w:val="Compact"/>
              <w:jc w:val="left"/>
            </w:pPr>
            <w:r>
              <w:t xml:space="preserve">02</w:t>
            </w:r>
          </w:p>
        </w:tc>
        <w:tc>
          <w:tcPr/>
          <w:p>
            <w:pPr>
              <w:pStyle w:val="Compact"/>
              <w:jc w:val="left"/>
            </w:pPr>
            <w:r>
              <w:t xml:space="preserve">Dedicated Banker Relationship Management (Senior Banker, 12 hrs/month)</w:t>
            </w:r>
          </w:p>
        </w:tc>
        <w:tc>
          <w:tcPr/>
          <w:p>
            <w:pPr>
              <w:pStyle w:val="Compact"/>
              <w:jc w:val="left"/>
            </w:pPr>
            <w:r>
              <w:t xml:space="preserve">Monthly</w:t>
            </w:r>
          </w:p>
        </w:tc>
        <w:tc>
          <w:tcPr/>
          <w:p>
            <w:pPr>
              <w:pStyle w:val="Compact"/>
              <w:jc w:val="left"/>
            </w:pPr>
            <w:r>
              <w:t xml:space="preserve">R 48,000.00</w:t>
            </w:r>
          </w:p>
        </w:tc>
      </w:tr>
      <w:tr>
        <w:tc>
          <w:tcPr/>
          <w:p>
            <w:pPr>
              <w:pStyle w:val="Compact"/>
              <w:jc w:val="left"/>
            </w:pPr>
            <w:r>
              <w:t xml:space="preserve">03</w:t>
            </w:r>
          </w:p>
        </w:tc>
        <w:tc>
          <w:tcPr/>
          <w:p>
            <w:pPr>
              <w:pStyle w:val="Compact"/>
              <w:jc w:val="left"/>
            </w:pPr>
            <w:r>
              <w:t xml:space="preserve">Treasury &amp; Cash Management Platform Access (Johannesburg data centre)</w:t>
            </w:r>
          </w:p>
        </w:tc>
        <w:tc>
          <w:tcPr/>
          <w:p>
            <w:pPr>
              <w:pStyle w:val="Compact"/>
              <w:jc w:val="left"/>
            </w:pPr>
            <w:r>
              <w:t xml:space="preserve">Monthly</w:t>
            </w:r>
          </w:p>
        </w:tc>
        <w:tc>
          <w:tcPr/>
          <w:p>
            <w:pPr>
              <w:pStyle w:val="Compact"/>
              <w:jc w:val="left"/>
            </w:pPr>
            <w:r>
              <w:t xml:space="preserve">R 22,750.00</w:t>
            </w:r>
          </w:p>
        </w:tc>
      </w:tr>
      <w:tr>
        <w:tc>
          <w:tcPr/>
          <w:p>
            <w:pPr>
              <w:pStyle w:val="Compact"/>
              <w:jc w:val="left"/>
            </w:pPr>
            <w:r>
              <w:t xml:space="preserve">04</w:t>
            </w:r>
          </w:p>
        </w:tc>
        <w:tc>
          <w:tcPr/>
          <w:p>
            <w:pPr>
              <w:pStyle w:val="Compact"/>
              <w:jc w:val="left"/>
            </w:pPr>
            <w:r>
              <w:t xml:space="preserve">Trade Finance Structuring &amp; Advisory (per transaction, estimated 8 txns/quarter)</w:t>
            </w:r>
          </w:p>
        </w:tc>
        <w:tc>
          <w:tcPr/>
          <w:p>
            <w:pPr>
              <w:pStyle w:val="Compact"/>
              <w:jc w:val="left"/>
            </w:pPr>
            <w:r>
              <w:t xml:space="preserve">Quarterly</w:t>
            </w:r>
          </w:p>
        </w:tc>
        <w:tc>
          <w:tcPr/>
          <w:p>
            <w:pPr>
              <w:pStyle w:val="Compact"/>
              <w:jc w:val="left"/>
            </w:pPr>
            <w:r>
              <w:t xml:space="preserve">R 96,000.00</w:t>
            </w:r>
          </w:p>
        </w:tc>
      </w:tr>
      <w:tr>
        <w:tc>
          <w:tcPr/>
          <w:p>
            <w:pPr>
              <w:pStyle w:val="Compact"/>
              <w:jc w:val="left"/>
            </w:pPr>
            <w:r>
              <w:t xml:space="preserve">05</w:t>
            </w:r>
          </w:p>
        </w:tc>
        <w:tc>
          <w:tcPr/>
          <w:p>
            <w:pPr>
              <w:pStyle w:val="Compact"/>
              <w:jc w:val="left"/>
            </w:pPr>
            <w:r>
              <w:t xml:space="preserve">Foreign Exchange Hedging Advisory &amp; Execution (estimated notional R 50M/quarter)</w:t>
            </w:r>
          </w:p>
        </w:tc>
        <w:tc>
          <w:tcPr/>
          <w:p>
            <w:pPr>
              <w:pStyle w:val="Compact"/>
              <w:jc w:val="left"/>
            </w:pPr>
            <w:r>
              <w:t xml:space="preserve">Quarterly</w:t>
            </w:r>
          </w:p>
        </w:tc>
        <w:tc>
          <w:tcPr/>
          <w:p>
            <w:pPr>
              <w:pStyle w:val="Compact"/>
              <w:jc w:val="left"/>
            </w:pPr>
            <w:r>
              <w:t xml:space="preserve">R 185,000.00</w:t>
            </w:r>
          </w:p>
        </w:tc>
      </w:tr>
      <w:tr>
        <w:tc>
          <w:tcPr/>
          <w:p>
            <w:pPr>
              <w:pStyle w:val="Compact"/>
              <w:jc w:val="left"/>
            </w:pPr>
            <w:r>
              <w:t xml:space="preserve">06</w:t>
            </w:r>
          </w:p>
        </w:tc>
        <w:tc>
          <w:tcPr/>
          <w:p>
            <w:pPr>
              <w:pStyle w:val="Compact"/>
              <w:jc w:val="left"/>
            </w:pPr>
            <w:r>
              <w:t xml:space="preserve">FICA Compliance, KYC Refresh &amp; Regulatory Reporting</w:t>
            </w:r>
          </w:p>
        </w:tc>
        <w:tc>
          <w:tcPr/>
          <w:p>
            <w:pPr>
              <w:pStyle w:val="Compact"/>
              <w:jc w:val="left"/>
            </w:pPr>
            <w:r>
              <w:t xml:space="preserve">Monthly</w:t>
            </w:r>
          </w:p>
        </w:tc>
        <w:tc>
          <w:tcPr/>
          <w:p>
            <w:pPr>
              <w:pStyle w:val="Compact"/>
              <w:jc w:val="left"/>
            </w:pPr>
            <w:r>
              <w:t xml:space="preserve">R 18,500.00</w:t>
            </w:r>
          </w:p>
        </w:tc>
      </w:tr>
      <w:tr>
        <w:tc>
          <w:tcPr/>
          <w:p>
            <w:pPr>
              <w:pStyle w:val="Compact"/>
              <w:jc w:val="left"/>
            </w:pPr>
            <w:r>
              <w:t xml:space="preserve">07</w:t>
            </w:r>
          </w:p>
        </w:tc>
        <w:tc>
          <w:tcPr/>
          <w:p>
            <w:pPr>
              <w:pStyle w:val="Compact"/>
              <w:jc w:val="left"/>
            </w:pPr>
            <w:r>
              <w:t xml:space="preserve">Strategic Financial Advisory &amp; On-Site Consultation (Johannesburg, 4 sessions/year)</w:t>
            </w:r>
          </w:p>
        </w:tc>
        <w:tc>
          <w:tcPr/>
          <w:p>
            <w:pPr>
              <w:pStyle w:val="Compact"/>
              <w:jc w:val="left"/>
            </w:pPr>
            <w:r>
              <w:t xml:space="preserve">Quarterly</w:t>
            </w:r>
          </w:p>
        </w:tc>
        <w:tc>
          <w:tcPr/>
          <w:p>
            <w:pPr>
              <w:pStyle w:val="Compact"/>
              <w:jc w:val="left"/>
            </w:pPr>
            <w:r>
              <w:t xml:space="preserve">R 72,000.00</w:t>
            </w:r>
          </w:p>
        </w:tc>
      </w:tr>
      <w:tr>
        <w:tc>
          <w:tcPr/>
          <w:p>
            <w:pPr>
              <w:pStyle w:val="Compact"/>
              <w:jc w:val="left"/>
            </w:pPr>
            <w:r>
              <w:t xml:space="preserve">08</w:t>
            </w:r>
          </w:p>
        </w:tc>
        <w:tc>
          <w:tcPr/>
          <w:p>
            <w:pPr>
              <w:pStyle w:val="Compact"/>
              <w:jc w:val="left"/>
            </w:pPr>
            <w:r>
              <w:t xml:space="preserve">Annual Account Audit &amp; Reconciliation (all South Africa Johannesburg branches)</w:t>
            </w:r>
          </w:p>
        </w:tc>
        <w:tc>
          <w:tcPr/>
          <w:p>
            <w:pPr>
              <w:pStyle w:val="Compact"/>
              <w:jc w:val="left"/>
            </w:pPr>
            <w:r>
              <w:t xml:space="preserve">Annually</w:t>
            </w:r>
          </w:p>
        </w:tc>
        <w:tc>
          <w:tcPr/>
          <w:p>
            <w:pPr>
              <w:pStyle w:val="Compact"/>
              <w:jc w:val="left"/>
            </w:pPr>
            <w:r>
              <w:t xml:space="preserve">R 35,000.00</w:t>
            </w:r>
          </w:p>
        </w:tc>
      </w:tr>
      <w:tr>
        <w:tc>
          <w:tcPr>
            <w:gridSpan w:val="3"/>
          </w:tcPr>
          <w:p>
            <w:pPr>
              <w:pStyle w:val="Compact"/>
              <w:jc w:val="left"/>
            </w:pPr>
            <w:r>
              <w:t xml:space="preserve">Sub-Total (Annualised Estimate)</w:t>
            </w:r>
          </w:p>
        </w:tc>
        <w:tc>
          <w:tcPr/>
          <w:p>
            <w:pPr>
              <w:pStyle w:val="Compact"/>
              <w:jc w:val="left"/>
            </w:pPr>
            <w:r>
              <w:t xml:space="preserve">R 689,750.00</w:t>
            </w:r>
          </w:p>
        </w:tc>
      </w:tr>
      <w:tr>
        <w:tc>
          <w:tcPr>
            <w:gridSpan w:val="3"/>
          </w:tcPr>
          <w:p>
            <w:pPr>
              <w:pStyle w:val="Compact"/>
              <w:jc w:val="left"/>
            </w:pPr>
            <w:r>
              <w:t xml:space="preserve">VAT @ 15% (South Africa)</w:t>
            </w:r>
          </w:p>
        </w:tc>
        <w:tc>
          <w:tcPr/>
          <w:p>
            <w:pPr>
              <w:pStyle w:val="Compact"/>
              <w:jc w:val="left"/>
            </w:pPr>
            <w:r>
              <w:t xml:space="preserve">R 103,462.50</w:t>
            </w:r>
          </w:p>
        </w:tc>
      </w:tr>
      <w:tr>
        <w:tc>
          <w:tcPr>
            <w:gridSpan w:val="3"/>
          </w:tcPr>
          <w:p>
            <w:pPr>
              <w:pStyle w:val="Compact"/>
              <w:jc w:val="left"/>
            </w:pPr>
            <w:r>
              <w:rPr>
                <w:bCs/>
                <w:b/>
              </w:rPr>
              <w:t xml:space="preserve">TOTAL QUOTATION ESTIMATE (Annualised, Incl. VAT)</w:t>
            </w:r>
          </w:p>
        </w:tc>
        <w:tc>
          <w:tcPr/>
          <w:p>
            <w:pPr>
              <w:pStyle w:val="Compact"/>
              <w:jc w:val="left"/>
            </w:pPr>
            <w:r>
              <w:rPr>
                <w:bCs/>
                <w:b/>
              </w:rPr>
              <w:t xml:space="preserve">R 793,212.50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thirty (30) calendar days from the date of issue. Thereafter, all rates and service terms are subject to revision by the Banker.</w:t>
      </w:r>
    </w:p>
    <w:p>
      <w:pPr>
        <w:numPr>
          <w:ilvl w:val="0"/>
          <w:numId w:val="1002"/>
        </w:numPr>
        <w:pStyle w:val="Compact"/>
      </w:pPr>
      <w:r>
        <w:t xml:space="preserve">All fees are quoted in South African Rand (ZAR) and are inclusive of all applicable South African Johannesburg municipal levies and transport costs within the Gauteng metropolitan area.</w:t>
      </w:r>
    </w:p>
    <w:p>
      <w:pPr>
        <w:numPr>
          <w:ilvl w:val="0"/>
          <w:numId w:val="1002"/>
        </w:numPr>
        <w:pStyle w:val="Compact"/>
      </w:pPr>
      <w:r>
        <w:t xml:space="preserve">Payment terms: 50% of the annualised Quotation Estimate total is due upon execution of the service agreement; the remaining 50% is payable in equal monthly instalments over the contract year.</w:t>
      </w:r>
    </w:p>
    <w:p>
      <w:pPr>
        <w:numPr>
          <w:ilvl w:val="0"/>
          <w:numId w:val="1002"/>
        </w:numPr>
        <w:pStyle w:val="Compact"/>
      </w:pPr>
      <w:r>
        <w:t xml:space="preserve">The Banker reserves the right to adjust foreign exchange hedging fees (Ref 05) in the event that the South African Reserve Bank alters its monetary policy or the ZAR/USD volatility index exceeds 12% in any given quarter.</w:t>
      </w:r>
    </w:p>
    <w:p>
      <w:pPr>
        <w:numPr>
          <w:ilvl w:val="0"/>
          <w:numId w:val="1002"/>
        </w:numPr>
        <w:pStyle w:val="Compact"/>
      </w:pPr>
      <w:r>
        <w:t xml:space="preserve">All services shall be performed in accordance with the Banking Act 4 of 1990 (as amended), the Protection of Personal Information Act (POPIA), and the Financial Sector Conduct Authority (FSCA) Code of Conduct.</w:t>
      </w:r>
    </w:p>
    <w:p>
      <w:pPr>
        <w:numPr>
          <w:ilvl w:val="0"/>
          <w:numId w:val="1002"/>
        </w:numPr>
        <w:pStyle w:val="Compact"/>
      </w:pPr>
      <w:r>
        <w:t xml:space="preserve">This Quotation Estimate does not constitute a guarantee of credit approval, loan disbursement, or any specific financial outcome. All trade finance and lending facilities remain subject to the Banker's internal credit committee approval.</w:t>
      </w:r>
    </w:p>
    <w:p>
      <w:pPr>
        <w:numPr>
          <w:ilvl w:val="0"/>
          <w:numId w:val="1002"/>
        </w:numPr>
        <w:pStyle w:val="Compact"/>
      </w:pPr>
      <w:r>
        <w:t xml:space="preserve">Any variation to the scope of services must be documented in a written amendment to this Quotation Estimate, signed by both the Banker and the authorised representative of the client.</w:t>
      </w:r>
    </w:p>
    <w:p>
      <w:pPr>
        <w:numPr>
          <w:ilvl w:val="0"/>
          <w:numId w:val="1002"/>
        </w:numPr>
        <w:pStyle w:val="Compact"/>
      </w:pPr>
      <w:r>
        <w:t xml:space="preserve">Disputes arising from this Quotation Estimate shall be resolved in the courts of competent jurisdiction in Johannesburg, South Africa, or by arbitration under the rules of the Arbitration Foundation of Southern Africa (AFSA).</w:t>
      </w:r>
    </w:p>
    <w:p>
      <w:pPr>
        <w:pStyle w:val="FirstParagraph"/>
      </w:pPr>
      <w:r>
        <w:rPr>
          <w:bCs/>
          <w:b/>
        </w:rPr>
        <w:t xml:space="preserve">Important Note:</w:t>
      </w:r>
      <w:r>
        <w:t xml:space="preserve"> </w:t>
      </w:r>
      <w:r>
        <w:t xml:space="preserve">This Quotation Estimate reflects the Banker's best professional estimate based on the information provided by the client as at the date of issue. Actual costs may vary depending on transaction volumes, regulatory changes in South Africa Johannesburg, and market conditions. The Banker will provide a revised Quotation Estimate within five (5) business days should any material change in scope be identified during the onboarding phase.</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and agrees to the terms, conditions, and estimated costs set forth herein. The Banker confirms that all services will be rendered with the highest degree of professional diligence in accordance with South African banking standards and the specific commercial requirements of the Johannesburg business environment.</w:t>
      </w:r>
    </w:p>
    <w:p>
      <w:pPr>
        <w:pStyle w:val="BodyText"/>
      </w:pPr>
      <w:r>
        <w:rPr>
          <w:bCs/>
          <w:b/>
        </w:rPr>
        <w:t xml:space="preserve">For and on behalf of the Banker:</w:t>
      </w:r>
      <w:r>
        <w:br/>
      </w:r>
      <w:r>
        <w:br/>
      </w:r>
      <w:r>
        <w:t xml:space="preserve">______________________________</w:t>
      </w:r>
      <w:r>
        <w:br/>
      </w:r>
      <w:r>
        <w:t xml:space="preserve">Mr. Thabo M. Nkosi</w:t>
      </w:r>
      <w:r>
        <w:br/>
      </w:r>
      <w:r>
        <w:t xml:space="preserve">Senior Corporate Banker</w:t>
      </w:r>
      <w:r>
        <w:br/>
      </w:r>
      <w:r>
        <w:t xml:space="preserve">Date: _______________</w:t>
      </w:r>
    </w:p>
    <w:p>
      <w:pPr>
        <w:pStyle w:val="BodyText"/>
      </w:pPr>
      <w:r>
        <w:rPr>
          <w:bCs/>
          <w:b/>
        </w:rPr>
        <w:t xml:space="preserve">For and on behalf of the Client:</w:t>
      </w:r>
      <w:r>
        <w:br/>
      </w:r>
      <w:r>
        <w:br/>
      </w:r>
      <w:r>
        <w:t xml:space="preserve">______________________________</w:t>
      </w:r>
      <w:r>
        <w:br/>
      </w:r>
      <w:r>
        <w:t xml:space="preserve">Mrs. Lerato D. van der Merwe</w:t>
      </w:r>
      <w:r>
        <w:br/>
      </w:r>
      <w:r>
        <w:t xml:space="preserve">CFO, Apex Manufacturing Holdings (Pty) Ltd</w:t>
      </w:r>
      <w:r>
        <w:br/>
      </w:r>
      <w:r>
        <w:t xml:space="preserve">Date: _______________</w:t>
      </w:r>
    </w:p>
    <w:p>
      <w:pPr>
        <w:pStyle w:val="BodyText"/>
      </w:pPr>
      <w:r>
        <w:t xml:space="preserve">This Quotation Estimate (QE-JHB-2025-04782) is issued by the undersigned Banker for the exclusive use of Apex Manufacturing Holdings (Pty) Ltd in South Africa Johannesburg.</w:t>
      </w:r>
      <w:r>
        <w:t xml:space="preserve"> </w:t>
      </w:r>
      <w:r>
        <w:t xml:space="preserve">This document is confidential and may not be reproduced or distributed without prior written consent.</w:t>
      </w:r>
      <w:r>
        <w:t xml:space="preserve"> </w:t>
      </w:r>
      <w:r>
        <w:t xml:space="preserve">© 2025 Standard Corporate Banking Division, Johannesburg, South Africa.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South Africa Johannesburg</dc:title>
  <dc:creator/>
  <dc:language>en</dc:language>
  <cp:keywords/>
  <dcterms:created xsi:type="dcterms:W3CDTF">2026-10-10T08:14:55Z</dcterms:created>
  <dcterms:modified xsi:type="dcterms:W3CDTF">2026-10-10T08:14:55Z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