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Banker Services — South Korea Seoul</w:t>
      </w:r>
    </w:p>
    <w:p>
      <w:pPr>
        <w:pStyle w:val="BodyText"/>
      </w:pPr>
      <w:r>
        <w:t xml:space="preserve">OFFICIAL ESTIMATE DOCUMENT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QTE-SEOUL-2025-04871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 (expires July 12, 2025)</w:t>
            </w:r>
          </w:p>
        </w:tc>
      </w:tr>
      <w:tr>
        <w:tc>
          <w:tcPr/>
          <w:p>
            <w:pPr>
              <w:pStyle w:val="Compact"/>
              <w:jc w:val="left"/>
            </w:pPr>
            <w:r>
              <w:t xml:space="preserve">Service Location</w:t>
            </w:r>
          </w:p>
        </w:tc>
        <w:tc>
          <w:tcPr/>
          <w:p>
            <w:pPr>
              <w:pStyle w:val="Compact"/>
              <w:jc w:val="left"/>
            </w:pPr>
            <w:r>
              <w:t xml:space="preserve">Seoul, South Korea — Gangnam District, 52 Teheran-ro, Yeoksam-dong</w:t>
            </w:r>
          </w:p>
        </w:tc>
      </w:tr>
      <w:tr>
        <w:tc>
          <w:tcPr/>
          <w:p>
            <w:pPr>
              <w:pStyle w:val="Compact"/>
              <w:jc w:val="left"/>
            </w:pPr>
            <w:r>
              <w:t xml:space="preserve">Prepared By</w:t>
            </w:r>
          </w:p>
        </w:tc>
        <w:tc>
          <w:tcPr/>
          <w:p>
            <w:pPr>
              <w:pStyle w:val="Compact"/>
              <w:jc w:val="left"/>
            </w:pPr>
            <w:r>
              <w:t xml:space="preserve">Seoul Financial Advisory Group Co., Ltd. (SFGA)</w:t>
            </w:r>
          </w:p>
        </w:tc>
      </w:tr>
      <w:tr>
        <w:tc>
          <w:tcPr/>
          <w:p>
            <w:pPr>
              <w:pStyle w:val="Compact"/>
              <w:jc w:val="left"/>
            </w:pPr>
            <w:r>
              <w:t xml:space="preserve">Prepared For</w:t>
            </w:r>
          </w:p>
        </w:tc>
        <w:tc>
          <w:tcPr/>
          <w:p>
            <w:pPr>
              <w:pStyle w:val="Compact"/>
              <w:jc w:val="left"/>
            </w:pPr>
            <w:r>
              <w:t xml:space="preserve">Client Name / Corporate Entity (to be confirmed upon acceptance)</w:t>
            </w:r>
          </w:p>
        </w:tc>
      </w:tr>
      <w:tr>
        <w:tc>
          <w:tcPr/>
          <w:p>
            <w:pPr>
              <w:pStyle w:val="Compact"/>
              <w:jc w:val="left"/>
            </w:pPr>
            <w:r>
              <w:t xml:space="preserve">Currency</w:t>
            </w:r>
          </w:p>
        </w:tc>
        <w:tc>
          <w:tcPr/>
          <w:p>
            <w:pPr>
              <w:pStyle w:val="Compact"/>
              <w:jc w:val="left"/>
            </w:pPr>
            <w:r>
              <w:t xml:space="preserve">South Korean Won (KRW) / US Dollar (USD) — dual-currency estimate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document is issued by Seoul Financial Advisory Group Co., Ltd. to provide a comprehensive, itemized cost breakdown for the engagement of a dedicated</w:t>
      </w:r>
      <w:r>
        <w:t xml:space="preserve"> </w:t>
      </w:r>
      <w:r>
        <w:rPr>
          <w:bCs/>
          <w:b/>
        </w:rPr>
        <w:t xml:space="preserve">Banker</w:t>
      </w:r>
      <w:r>
        <w:t xml:space="preserve"> </w:t>
      </w:r>
      <w:r>
        <w:t xml:space="preserve">professional to be deployed and utilized in</w:t>
      </w:r>
      <w:r>
        <w:t xml:space="preserve"> </w:t>
      </w:r>
      <w:r>
        <w:rPr>
          <w:bCs/>
          <w:b/>
        </w:rPr>
        <w:t xml:space="preserve">South Korea Seoul</w:t>
      </w:r>
      <w:r>
        <w:t xml:space="preserve">. The Banker referenced herein is a licensed senior financial officer who will operate in full compliance with the Financial Services Act of the Republic of Korea, the regulations of the Financial Services Commission (FSC), and the guidelines of the Financial Supervisory Service (FSS) of South Korea. The services outlined in this estimate are tailored specifically to the regulatory, cultural, and operational environment of Seoul, South Korea, ensuring that all banking activities, client advisory functions, and institutional relationships are managed with the highest degree of professionalism and local expertise.</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Unit</w:t>
            </w:r>
          </w:p>
        </w:tc>
        <w:tc>
          <w:tcPr/>
          <w:p>
            <w:pPr>
              <w:pStyle w:val="Compact"/>
              <w:jc w:val="left"/>
            </w:pPr>
            <w:r>
              <w:t xml:space="preserve">KRW (South Korean Won)</w:t>
            </w:r>
          </w:p>
        </w:tc>
        <w:tc>
          <w:tcPr/>
          <w:p>
            <w:pPr>
              <w:pStyle w:val="Compact"/>
              <w:jc w:val="left"/>
            </w:pPr>
            <w:r>
              <w:t xml:space="preserve">USD (Equivalent)</w:t>
            </w:r>
          </w:p>
        </w:tc>
      </w:tr>
      <w:tr>
        <w:tc>
          <w:tcPr/>
          <w:p>
            <w:pPr>
              <w:pStyle w:val="Compact"/>
              <w:jc w:val="left"/>
            </w:pPr>
            <w:r>
              <w:t xml:space="preserve">1</w:t>
            </w:r>
          </w:p>
        </w:tc>
        <w:tc>
          <w:tcPr/>
          <w:p>
            <w:pPr>
              <w:pStyle w:val="Compact"/>
              <w:jc w:val="left"/>
            </w:pPr>
            <w:r>
              <w:t xml:space="preserve">Engagement of Senior Banker (CFA/FRM certified) for corporate treasury management and liquidity advisory in Seoul, South Korea</w:t>
            </w:r>
          </w:p>
        </w:tc>
        <w:tc>
          <w:tcPr/>
          <w:p>
            <w:pPr>
              <w:pStyle w:val="Compact"/>
              <w:jc w:val="left"/>
            </w:pPr>
            <w:r>
              <w:t xml:space="preserve">12 months</w:t>
            </w:r>
          </w:p>
        </w:tc>
        <w:tc>
          <w:tcPr/>
          <w:p>
            <w:pPr>
              <w:pStyle w:val="Compact"/>
              <w:jc w:val="left"/>
            </w:pPr>
            <w:r>
              <w:t xml:space="preserve">186,000,000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Regulatory compliance monitoring and FSC/FSS reporting support for the Banker's operational scope in Seoul</w:t>
            </w:r>
          </w:p>
        </w:tc>
        <w:tc>
          <w:tcPr/>
          <w:p>
            <w:pPr>
              <w:pStyle w:val="Compact"/>
              <w:jc w:val="left"/>
            </w:pPr>
            <w:r>
              <w:t xml:space="preserve">12 months</w:t>
            </w:r>
          </w:p>
        </w:tc>
        <w:tc>
          <w:tcPr/>
          <w:p>
            <w:pPr>
              <w:pStyle w:val="Compact"/>
              <w:jc w:val="left"/>
            </w:pPr>
            <w:r>
              <w:t xml:space="preserve">42,000,000</w:t>
            </w:r>
          </w:p>
        </w:tc>
        <w:tc>
          <w:tcPr/>
          <w:p>
            <w:pPr>
              <w:pStyle w:val="Compact"/>
              <w:jc w:val="left"/>
            </w:pPr>
            <w:r>
              <w:t xml:space="preserve">$30,500</w:t>
            </w:r>
          </w:p>
        </w:tc>
      </w:tr>
      <w:tr>
        <w:tc>
          <w:tcPr/>
          <w:p>
            <w:pPr>
              <w:pStyle w:val="Compact"/>
              <w:jc w:val="left"/>
            </w:pPr>
            <w:r>
              <w:t xml:space="preserve">3</w:t>
            </w:r>
          </w:p>
        </w:tc>
        <w:tc>
          <w:tcPr/>
          <w:p>
            <w:pPr>
              <w:pStyle w:val="Compact"/>
              <w:jc w:val="left"/>
            </w:pPr>
            <w:r>
              <w:t xml:space="preserve">Office allocation and secure workspace for the Banker at Gangnam District, Seoul, South Korea (including KRW/USD currency handling facilities)</w:t>
            </w:r>
          </w:p>
        </w:tc>
        <w:tc>
          <w:tcPr/>
          <w:p>
            <w:pPr>
              <w:pStyle w:val="Compact"/>
              <w:jc w:val="left"/>
            </w:pPr>
            <w:r>
              <w:t xml:space="preserve">12 months</w:t>
            </w:r>
          </w:p>
        </w:tc>
        <w:tc>
          <w:tcPr/>
          <w:p>
            <w:pPr>
              <w:pStyle w:val="Compact"/>
              <w:jc w:val="left"/>
            </w:pPr>
            <w:r>
              <w:t xml:space="preserve">36,000,000</w:t>
            </w:r>
          </w:p>
        </w:tc>
        <w:tc>
          <w:tcPr/>
          <w:p>
            <w:pPr>
              <w:pStyle w:val="Compact"/>
              <w:jc w:val="left"/>
            </w:pPr>
            <w:r>
              <w:t xml:space="preserve">$26,200</w:t>
            </w:r>
          </w:p>
        </w:tc>
      </w:tr>
      <w:tr>
        <w:tc>
          <w:tcPr/>
          <w:p>
            <w:pPr>
              <w:pStyle w:val="Compact"/>
              <w:jc w:val="left"/>
            </w:pPr>
            <w:r>
              <w:t xml:space="preserve">4</w:t>
            </w:r>
          </w:p>
        </w:tc>
        <w:tc>
          <w:tcPr/>
          <w:p>
            <w:pPr>
              <w:pStyle w:val="Compact"/>
              <w:jc w:val="left"/>
            </w:pPr>
            <w:r>
              <w:t xml:space="preserve">Local banking relationship management — coordination with major Seoul institutions (KDB, IBK, Shinhan, Woori, Hana Bank)</w:t>
            </w:r>
          </w:p>
        </w:tc>
        <w:tc>
          <w:tcPr/>
          <w:p>
            <w:pPr>
              <w:pStyle w:val="Compact"/>
              <w:jc w:val="left"/>
            </w:pPr>
            <w:r>
              <w:t xml:space="preserve">12 months</w:t>
            </w:r>
          </w:p>
        </w:tc>
        <w:tc>
          <w:tcPr/>
          <w:p>
            <w:pPr>
              <w:pStyle w:val="Compact"/>
              <w:jc w:val="left"/>
            </w:pPr>
            <w:r>
              <w:t xml:space="preserve">28,000,000</w:t>
            </w:r>
          </w:p>
        </w:tc>
        <w:tc>
          <w:tcPr/>
          <w:p>
            <w:pPr>
              <w:pStyle w:val="Compact"/>
              <w:jc w:val="left"/>
            </w:pPr>
            <w:r>
              <w:t xml:space="preserve">$20,400</w:t>
            </w:r>
          </w:p>
        </w:tc>
      </w:tr>
      <w:tr>
        <w:tc>
          <w:tcPr/>
          <w:p>
            <w:pPr>
              <w:pStyle w:val="Compact"/>
              <w:jc w:val="left"/>
            </w:pPr>
            <w:r>
              <w:t xml:space="preserve">5</w:t>
            </w:r>
          </w:p>
        </w:tc>
        <w:tc>
          <w:tcPr/>
          <w:p>
            <w:pPr>
              <w:pStyle w:val="Compact"/>
              <w:jc w:val="left"/>
            </w:pPr>
            <w:r>
              <w:t xml:space="preserve">Visa sponsorship, work permit processing, and immigration support for the Banker operating in South Korea Seoul</w:t>
            </w:r>
          </w:p>
        </w:tc>
        <w:tc>
          <w:tcPr/>
          <w:p>
            <w:pPr>
              <w:pStyle w:val="Compact"/>
              <w:jc w:val="left"/>
            </w:pPr>
            <w:r>
              <w:t xml:space="preserve">One-time</w:t>
            </w:r>
          </w:p>
        </w:tc>
        <w:tc>
          <w:tcPr/>
          <w:p>
            <w:pPr>
              <w:pStyle w:val="Compact"/>
              <w:jc w:val="left"/>
            </w:pPr>
            <w:r>
              <w:t xml:space="preserve">12,500,000</w:t>
            </w:r>
          </w:p>
        </w:tc>
        <w:tc>
          <w:tcPr/>
          <w:p>
            <w:pPr>
              <w:pStyle w:val="Compact"/>
              <w:jc w:val="left"/>
            </w:pPr>
            <w:r>
              <w:t xml:space="preserve">$9,100</w:t>
            </w:r>
          </w:p>
        </w:tc>
      </w:tr>
      <w:tr>
        <w:tc>
          <w:tcPr/>
          <w:p>
            <w:pPr>
              <w:pStyle w:val="Compact"/>
              <w:jc w:val="left"/>
            </w:pPr>
            <w:r>
              <w:t xml:space="preserve">6</w:t>
            </w:r>
          </w:p>
        </w:tc>
        <w:tc>
          <w:tcPr/>
          <w:p>
            <w:pPr>
              <w:pStyle w:val="Compact"/>
              <w:jc w:val="left"/>
            </w:pPr>
            <w:r>
              <w:t xml:space="preserve">Professional liability insurance and fiduciary bond coverage for the Banker in the South Korea Seoul jurisdiction</w:t>
            </w:r>
          </w:p>
        </w:tc>
        <w:tc>
          <w:tcPr/>
          <w:p>
            <w:pPr>
              <w:pStyle w:val="Compact"/>
              <w:jc w:val="left"/>
            </w:pPr>
            <w:r>
              <w:t xml:space="preserve">12 months</w:t>
            </w:r>
          </w:p>
        </w:tc>
        <w:tc>
          <w:tcPr/>
          <w:p>
            <w:pPr>
              <w:pStyle w:val="Compact"/>
              <w:jc w:val="left"/>
            </w:pPr>
            <w:r>
              <w:t xml:space="preserve">18,000,000</w:t>
            </w:r>
          </w:p>
        </w:tc>
        <w:tc>
          <w:tcPr/>
          <w:p>
            <w:pPr>
              <w:pStyle w:val="Compact"/>
              <w:jc w:val="left"/>
            </w:pPr>
            <w:r>
              <w:t xml:space="preserve">$13,100</w:t>
            </w:r>
          </w:p>
        </w:tc>
      </w:tr>
      <w:tr>
        <w:tc>
          <w:tcPr/>
          <w:p>
            <w:pPr>
              <w:pStyle w:val="Compact"/>
              <w:jc w:val="left"/>
            </w:pPr>
            <w:r>
              <w:t xml:space="preserve">7</w:t>
            </w:r>
          </w:p>
        </w:tc>
        <w:tc>
          <w:tcPr/>
          <w:p>
            <w:pPr>
              <w:pStyle w:val="Compact"/>
              <w:jc w:val="left"/>
            </w:pPr>
            <w:r>
              <w:t xml:space="preserve">Quarterly performance review and strategic advisory sessions with the Banker and client leadership in Seoul</w:t>
            </w:r>
          </w:p>
        </w:tc>
        <w:tc>
          <w:tcPr/>
          <w:p>
            <w:pPr>
              <w:pStyle w:val="Compact"/>
              <w:jc w:val="left"/>
            </w:pPr>
            <w:r>
              <w:t xml:space="preserve">4 sessions</w:t>
            </w:r>
          </w:p>
        </w:tc>
        <w:tc>
          <w:tcPr/>
          <w:p>
            <w:pPr>
              <w:pStyle w:val="Compact"/>
              <w:jc w:val="left"/>
            </w:pPr>
            <w:r>
              <w:t xml:space="preserve">16,000,000</w:t>
            </w:r>
          </w:p>
        </w:tc>
        <w:tc>
          <w:tcPr/>
          <w:p>
            <w:pPr>
              <w:pStyle w:val="Compact"/>
              <w:jc w:val="left"/>
            </w:pPr>
            <w:r>
              <w:t xml:space="preserve">$11,700</w:t>
            </w:r>
          </w:p>
        </w:tc>
      </w:tr>
      <w:tr>
        <w:tc>
          <w:tcPr/>
          <w:p>
            <w:pPr>
              <w:pStyle w:val="Compact"/>
              <w:jc w:val="left"/>
            </w:pPr>
            <w:r>
              <w:t xml:space="preserve">8</w:t>
            </w:r>
          </w:p>
        </w:tc>
        <w:tc>
          <w:tcPr/>
          <w:p>
            <w:pPr>
              <w:pStyle w:val="Compact"/>
              <w:jc w:val="left"/>
            </w:pPr>
            <w:r>
              <w:t xml:space="preserve">Technology and secure communication infrastructure (encrypted banking terminals, SWIFT access, KRX market data feeds)</w:t>
            </w:r>
          </w:p>
        </w:tc>
        <w:tc>
          <w:tcPr/>
          <w:p>
            <w:pPr>
              <w:pStyle w:val="Compact"/>
              <w:jc w:val="left"/>
            </w:pPr>
            <w:r>
              <w:t xml:space="preserve">12 months</w:t>
            </w:r>
          </w:p>
        </w:tc>
        <w:tc>
          <w:tcPr/>
          <w:p>
            <w:pPr>
              <w:pStyle w:val="Compact"/>
              <w:jc w:val="left"/>
            </w:pPr>
            <w:r>
              <w:t xml:space="preserve">24,000,000</w:t>
            </w:r>
          </w:p>
        </w:tc>
        <w:tc>
          <w:tcPr/>
          <w:p>
            <w:pPr>
              <w:pStyle w:val="Compact"/>
              <w:jc w:val="left"/>
            </w:pPr>
            <w:r>
              <w:t xml:space="preserve">$17,500</w:t>
            </w:r>
          </w:p>
        </w:tc>
      </w:tr>
      <w:tr>
        <w:tc>
          <w:tcPr>
            <w:gridSpan w:val="3"/>
          </w:tcPr>
          <w:p>
            <w:pPr>
              <w:pStyle w:val="Compact"/>
              <w:jc w:val="left"/>
            </w:pPr>
            <w:r>
              <w:t xml:space="preserve">TOTAL ESTIMATED COST (12-Month Engagement)</w:t>
            </w:r>
          </w:p>
        </w:tc>
        <w:tc>
          <w:tcPr/>
          <w:p>
            <w:pPr>
              <w:pStyle w:val="Compact"/>
              <w:jc w:val="left"/>
            </w:pPr>
            <w:r>
              <w:t xml:space="preserve">362,500,000 KRW</w:t>
            </w:r>
          </w:p>
        </w:tc>
        <w:tc>
          <w:tcPr/>
          <w:p>
            <w:pPr>
              <w:pStyle w:val="Compact"/>
              <w:jc w:val="left"/>
            </w:pPr>
            <w:r>
              <w:t xml:space="preserve">$263,500 USD</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Any acceptance beyond this period requires re-issuance and may reflect updated market rates in South Korea Seoul.</w:t>
      </w:r>
    </w:p>
    <w:p>
      <w:pPr>
        <w:numPr>
          <w:ilvl w:val="0"/>
          <w:numId w:val="1001"/>
        </w:numPr>
        <w:pStyle w:val="Compact"/>
      </w:pPr>
      <w:r>
        <w:t xml:space="preserve">The Banker engagement is subject to successful regulatory approval by the Financial Services Commission (FSC) of South Korea and clearance of all background checks mandated by the FSS.</w:t>
      </w:r>
    </w:p>
    <w:p>
      <w:pPr>
        <w:numPr>
          <w:ilvl w:val="0"/>
          <w:numId w:val="1001"/>
        </w:numPr>
        <w:pStyle w:val="Compact"/>
      </w:pPr>
      <w:r>
        <w:t xml:space="preserve">All fees are quoted in South Korean Won (KRW) with a USD equivalent provided for reference. The KRW amount shall be the governing figure for all transactions executed in Seoul, South Korea.</w:t>
      </w:r>
    </w:p>
    <w:p>
      <w:pPr>
        <w:numPr>
          <w:ilvl w:val="0"/>
          <w:numId w:val="1001"/>
        </w:numPr>
        <w:pStyle w:val="Compact"/>
      </w:pPr>
      <w:r>
        <w:t xml:space="preserve">Payment terms: 40% upon execution of the service agreement, 30% at the six-month milestone, and 30% upon completion of the twelve-month engagement period.</w:t>
      </w:r>
    </w:p>
    <w:p>
      <w:pPr>
        <w:numPr>
          <w:ilvl w:val="0"/>
          <w:numId w:val="1001"/>
        </w:numPr>
        <w:pStyle w:val="Compact"/>
      </w:pPr>
      <w:r>
        <w:t xml:space="preserve">Any additional services beyond the scope defined in this Quotation Estimate shall be subject to a supplementary estimate issued separately.</w:t>
      </w:r>
    </w:p>
    <w:p>
      <w:pPr>
        <w:numPr>
          <w:ilvl w:val="0"/>
          <w:numId w:val="1001"/>
        </w:numPr>
        <w:pStyle w:val="Compact"/>
      </w:pPr>
      <w:r>
        <w:t xml:space="preserve">The Banker shall adhere to all anti-money laundering (AML) and know-your-customer (KYC) protocols as prescribed by the Act on the Prevention of Money Laundering and Terrorist Financing of the Republic of Korea.</w:t>
      </w:r>
    </w:p>
    <w:p>
      <w:pPr>
        <w:numPr>
          <w:ilvl w:val="0"/>
          <w:numId w:val="1001"/>
        </w:numPr>
        <w:pStyle w:val="Compact"/>
      </w:pPr>
      <w:r>
        <w:t xml:space="preserve">Confidentiality: All financial data, client information, and operational details handled by the Banker in South Korea Seoul shall be protected under the Personal Information Protection Act (PIPA) of Korea and the terms of a mutual Non-Disclosure Agreement (NDA).</w:t>
      </w:r>
    </w:p>
    <w:p>
      <w:pPr>
        <w:numPr>
          <w:ilvl w:val="0"/>
          <w:numId w:val="1001"/>
        </w:numPr>
        <w:pStyle w:val="Compact"/>
      </w:pPr>
      <w:r>
        <w:t xml:space="preserve">Termination: Either party may terminate the engagement with sixty (60) days written notice. In the event of early termination, a pro-rata refund of unused fees shall be calculated based on the Banker's actual service period in Seoul.</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Banker services in South Korea Seoul and agrees to the terms, conditions, and cost structure outlined herein. This document does not constitute a binding contract until a formal Service Agreement is executed by both parties.</w:t>
      </w:r>
    </w:p>
    <w:p>
      <w:pPr>
        <w:pStyle w:val="BodyText"/>
      </w:pPr>
      <w:r>
        <w:rPr>
          <w:bCs/>
          <w:b/>
        </w:rPr>
        <w:t xml:space="preserve">For Seoul Financial Advisory Group Co., Ltd.</w:t>
      </w:r>
    </w:p>
    <w:p>
      <w:pPr>
        <w:pStyle w:val="BodyText"/>
      </w:pPr>
      <w:r>
        <w:t xml:space="preserve">Authorized Signatory — SFGA, Seoul, South Korea</w:t>
      </w:r>
    </w:p>
    <w:p>
      <w:pPr>
        <w:pStyle w:val="BodyText"/>
      </w:pPr>
      <w:r>
        <w:rPr>
          <w:bCs/>
          <w:b/>
        </w:rPr>
        <w:t xml:space="preserve">For the Client</w:t>
      </w:r>
    </w:p>
    <w:p>
      <w:pPr>
        <w:pStyle w:val="BodyText"/>
      </w:pPr>
      <w:r>
        <w:t xml:space="preserve">Authorized Signatory — Client Entity</w:t>
      </w:r>
    </w:p>
    <w:p>
      <w:pPr>
        <w:pStyle w:val="BodyText"/>
      </w:pPr>
      <w:r>
        <w:rPr>
          <w:bCs/>
          <w:b/>
        </w:rPr>
        <w:t xml:space="preserve">Important Notice:</w:t>
      </w:r>
      <w:r>
        <w:t xml:space="preserve"> </w:t>
      </w:r>
      <w:r>
        <w:t xml:space="preserve">This Quotation Estimate document is prepared exclusively for the named client and pertains to the engagement of a Banker professional to be utilized in South Korea Seoul. It is not a transferable document. All references to banking services, regulatory compliance, and operational procedures are specific to the jurisdiction of the Republic of Korea. For questions or clarifications regarding this estimate, please contact the SFGA Seoul office at +82-2-555-0147 or via email at estimates@sfsgroup.kr.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South Korea Seoul</dc:title>
  <dc:creator/>
  <dc:language>en</dc:language>
  <cp:keywords/>
  <dcterms:created xsi:type="dcterms:W3CDTF">2026-10-10T09:09:17Z</dcterms:created>
  <dcterms:modified xsi:type="dcterms:W3CDTF">2026-10-10T09:09:17Z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